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horzAnchor="margin" w:tblpY="-236"/>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810"/>
      </w:tblGrid>
      <w:tr w:rsidR="0088016F" w:rsidRPr="0088016F" w14:paraId="7A969CCA" w14:textId="77777777" w:rsidTr="004C6264">
        <w:trPr>
          <w:trHeight w:val="1837"/>
        </w:trPr>
        <w:tc>
          <w:tcPr>
            <w:tcW w:w="9810" w:type="dxa"/>
          </w:tcPr>
          <w:p w14:paraId="16FD315E" w14:textId="77777777" w:rsidR="0088016F" w:rsidRPr="0088016F" w:rsidRDefault="0088016F" w:rsidP="0088016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600" w:lineRule="exact"/>
              <w:outlineLvl w:val="0"/>
              <w:rPr>
                <w:rFonts w:eastAsia="SimHei" w:cs="Arial"/>
                <w:color w:val="003781"/>
                <w:sz w:val="40"/>
                <w:szCs w:val="40"/>
                <w:bdr w:val="none" w:sz="0" w:space="0" w:color="auto"/>
                <w:lang w:val="el-GR"/>
              </w:rPr>
            </w:pPr>
            <w:r w:rsidRPr="0088016F">
              <w:rPr>
                <w:rFonts w:eastAsia="SimHei" w:cs="Arial"/>
                <w:b/>
                <w:bCs/>
                <w:color w:val="FAB70A"/>
                <w:sz w:val="40"/>
                <w:szCs w:val="40"/>
                <w:bdr w:val="none" w:sz="0" w:space="0" w:color="auto"/>
                <w:lang w:val="el-GR"/>
              </w:rPr>
              <w:t>Δελτίο Τύπου:</w:t>
            </w:r>
            <w:r w:rsidRPr="0088016F">
              <w:rPr>
                <w:rFonts w:eastAsia="SimHei" w:cs="Arial"/>
                <w:color w:val="003781"/>
                <w:sz w:val="40"/>
                <w:szCs w:val="40"/>
                <w:bdr w:val="none" w:sz="0" w:space="0" w:color="auto"/>
                <w:lang w:val="el-GR"/>
              </w:rPr>
              <w:t xml:space="preserve"> </w:t>
            </w:r>
            <w:r w:rsidRPr="0088016F">
              <w:rPr>
                <w:rFonts w:eastAsia="SimHei" w:cs="Arial"/>
                <w:color w:val="003781"/>
                <w:sz w:val="40"/>
                <w:szCs w:val="40"/>
                <w:bdr w:val="none" w:sz="0" w:space="0" w:color="auto"/>
                <w:lang w:val="en-US"/>
              </w:rPr>
              <w:t>Allianz</w:t>
            </w:r>
            <w:r w:rsidRPr="0088016F">
              <w:rPr>
                <w:rFonts w:eastAsia="SimHei" w:cs="Arial"/>
                <w:color w:val="003781"/>
                <w:sz w:val="40"/>
                <w:szCs w:val="40"/>
                <w:bdr w:val="none" w:sz="0" w:space="0" w:color="auto"/>
                <w:lang w:val="el-GR"/>
              </w:rPr>
              <w:t xml:space="preserve"> </w:t>
            </w:r>
            <w:r w:rsidRPr="0088016F">
              <w:rPr>
                <w:rFonts w:eastAsia="SimHei" w:cs="Arial"/>
                <w:color w:val="003781"/>
                <w:sz w:val="40"/>
                <w:szCs w:val="40"/>
                <w:bdr w:val="none" w:sz="0" w:space="0" w:color="auto"/>
                <w:lang w:val="en-US"/>
              </w:rPr>
              <w:t>Global</w:t>
            </w:r>
            <w:r w:rsidRPr="0088016F">
              <w:rPr>
                <w:rFonts w:eastAsia="SimHei" w:cs="Arial"/>
                <w:color w:val="003781"/>
                <w:sz w:val="40"/>
                <w:szCs w:val="40"/>
                <w:bdr w:val="none" w:sz="0" w:space="0" w:color="auto"/>
                <w:lang w:val="el-GR"/>
              </w:rPr>
              <w:t xml:space="preserve"> </w:t>
            </w:r>
            <w:r w:rsidRPr="0088016F">
              <w:rPr>
                <w:rFonts w:eastAsia="SimHei" w:cs="Arial"/>
                <w:color w:val="003781"/>
                <w:sz w:val="40"/>
                <w:szCs w:val="40"/>
                <w:bdr w:val="none" w:sz="0" w:space="0" w:color="auto"/>
                <w:lang w:val="en-US"/>
              </w:rPr>
              <w:t>Insurance</w:t>
            </w:r>
            <w:r w:rsidRPr="0088016F">
              <w:rPr>
                <w:rFonts w:eastAsia="SimHei" w:cs="Arial"/>
                <w:color w:val="003781"/>
                <w:sz w:val="40"/>
                <w:szCs w:val="40"/>
                <w:bdr w:val="none" w:sz="0" w:space="0" w:color="auto"/>
                <w:lang w:val="el-GR"/>
              </w:rPr>
              <w:t xml:space="preserve"> </w:t>
            </w:r>
            <w:r w:rsidRPr="0088016F">
              <w:rPr>
                <w:rFonts w:eastAsia="SimHei" w:cs="Arial"/>
                <w:color w:val="003781"/>
                <w:sz w:val="40"/>
                <w:szCs w:val="40"/>
                <w:bdr w:val="none" w:sz="0" w:space="0" w:color="auto"/>
                <w:lang w:val="en-US"/>
              </w:rPr>
              <w:t>Report</w:t>
            </w:r>
            <w:r w:rsidRPr="0088016F">
              <w:rPr>
                <w:rFonts w:eastAsia="SimHei" w:cs="Arial"/>
                <w:color w:val="003781"/>
                <w:sz w:val="40"/>
                <w:szCs w:val="40"/>
                <w:bdr w:val="none" w:sz="0" w:space="0" w:color="auto"/>
                <w:lang w:val="el-GR"/>
              </w:rPr>
              <w:t xml:space="preserve"> 2025: </w:t>
            </w:r>
            <w:r w:rsidRPr="0088016F">
              <w:rPr>
                <w:rFonts w:eastAsia="Allianz Neo" w:cs="Arial"/>
                <w:color w:val="auto"/>
                <w:szCs w:val="16"/>
                <w:bdr w:val="none" w:sz="0" w:space="0" w:color="auto"/>
                <w:lang w:val="el-GR"/>
              </w:rPr>
              <w:t xml:space="preserve"> </w:t>
            </w:r>
            <w:r w:rsidRPr="0088016F">
              <w:rPr>
                <w:rFonts w:eastAsia="SimHei" w:cs="Arial"/>
                <w:color w:val="003781"/>
                <w:sz w:val="40"/>
                <w:szCs w:val="40"/>
                <w:bdr w:val="none" w:sz="0" w:space="0" w:color="auto"/>
                <w:lang w:val="el-GR"/>
              </w:rPr>
              <w:t>Αυξανόμενη η ζήτηση για προστασία</w:t>
            </w:r>
          </w:p>
          <w:p w14:paraId="0A5BB0B4"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eastAsia="Allianz Neo" w:cs="Arial"/>
                <w:color w:val="auto"/>
                <w:bdr w:val="none" w:sz="0" w:space="0" w:color="auto"/>
                <w:lang w:val="el-GR"/>
              </w:rPr>
            </w:pPr>
          </w:p>
        </w:tc>
      </w:tr>
    </w:tbl>
    <w:p w14:paraId="7F09E272" w14:textId="77777777" w:rsidR="0088016F" w:rsidRPr="0088016F" w:rsidRDefault="0088016F" w:rsidP="0088016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80" w:line="280" w:lineRule="atLeast"/>
        <w:contextualSpacing/>
        <w:rPr>
          <w:rFonts w:eastAsia="Allianz Neo" w:cs="Arial"/>
          <w:b/>
          <w:bCs/>
          <w:color w:val="003781"/>
          <w:szCs w:val="20"/>
          <w:bdr w:val="none" w:sz="0" w:space="0" w:color="auto"/>
          <w:lang w:val="el-GR"/>
        </w:rPr>
      </w:pPr>
      <w:r w:rsidRPr="0088016F">
        <w:rPr>
          <w:rFonts w:eastAsia="Allianz Neo" w:cs="Arial"/>
          <w:b/>
          <w:bCs/>
          <w:color w:val="003781"/>
          <w:szCs w:val="20"/>
          <w:bdr w:val="none" w:sz="0" w:space="0" w:color="auto"/>
          <w:lang w:val="el-GR"/>
        </w:rPr>
        <w:t xml:space="preserve">Παγκόσμια αγορά: </w:t>
      </w:r>
      <w:r w:rsidRPr="0088016F">
        <w:rPr>
          <w:rFonts w:eastAsia="Allianz Neo" w:cs="Arial" w:hint="cs"/>
          <w:b/>
          <w:bCs/>
          <w:color w:val="003781"/>
          <w:szCs w:val="20"/>
          <w:bdr w:val="none" w:sz="0" w:space="0" w:color="auto"/>
          <w:lang w:val="el-GR"/>
        </w:rPr>
        <w:t>Το</w:t>
      </w:r>
      <w:r w:rsidRPr="0088016F">
        <w:rPr>
          <w:rFonts w:eastAsia="Allianz Neo" w:cs="Arial"/>
          <w:b/>
          <w:bCs/>
          <w:color w:val="003781"/>
          <w:szCs w:val="20"/>
          <w:bdr w:val="none" w:sz="0" w:space="0" w:color="auto"/>
          <w:lang w:val="el-GR"/>
        </w:rPr>
        <w:t xml:space="preserve"> </w:t>
      </w:r>
      <w:r w:rsidRPr="0088016F">
        <w:rPr>
          <w:rFonts w:eastAsia="Allianz Neo" w:cs="Arial" w:hint="cs"/>
          <w:b/>
          <w:bCs/>
          <w:color w:val="003781"/>
          <w:szCs w:val="20"/>
          <w:bdr w:val="none" w:sz="0" w:space="0" w:color="auto"/>
          <w:lang w:val="el-GR"/>
        </w:rPr>
        <w:t>συνολικό</w:t>
      </w:r>
      <w:r w:rsidRPr="0088016F">
        <w:rPr>
          <w:rFonts w:eastAsia="Allianz Neo" w:cs="Arial"/>
          <w:b/>
          <w:bCs/>
          <w:color w:val="003781"/>
          <w:szCs w:val="20"/>
          <w:bdr w:val="none" w:sz="0" w:space="0" w:color="auto"/>
          <w:lang w:val="el-GR"/>
        </w:rPr>
        <w:t xml:space="preserve"> </w:t>
      </w:r>
      <w:r w:rsidRPr="0088016F">
        <w:rPr>
          <w:rFonts w:eastAsia="Allianz Neo" w:cs="Arial" w:hint="cs"/>
          <w:b/>
          <w:bCs/>
          <w:color w:val="003781"/>
          <w:szCs w:val="20"/>
          <w:bdr w:val="none" w:sz="0" w:space="0" w:color="auto"/>
          <w:lang w:val="el-GR"/>
        </w:rPr>
        <w:t>ύψος</w:t>
      </w:r>
      <w:r w:rsidRPr="0088016F">
        <w:rPr>
          <w:rFonts w:eastAsia="Allianz Neo" w:cs="Arial"/>
          <w:b/>
          <w:bCs/>
          <w:color w:val="003781"/>
          <w:szCs w:val="20"/>
          <w:bdr w:val="none" w:sz="0" w:space="0" w:color="auto"/>
          <w:lang w:val="el-GR"/>
        </w:rPr>
        <w:t xml:space="preserve"> </w:t>
      </w:r>
      <w:r w:rsidRPr="0088016F">
        <w:rPr>
          <w:rFonts w:eastAsia="Allianz Neo" w:cs="Arial" w:hint="cs"/>
          <w:b/>
          <w:bCs/>
          <w:color w:val="003781"/>
          <w:szCs w:val="20"/>
          <w:bdr w:val="none" w:sz="0" w:space="0" w:color="auto"/>
          <w:lang w:val="el-GR"/>
        </w:rPr>
        <w:t>των</w:t>
      </w:r>
      <w:r w:rsidRPr="0088016F">
        <w:rPr>
          <w:rFonts w:eastAsia="Allianz Neo" w:cs="Arial"/>
          <w:b/>
          <w:bCs/>
          <w:color w:val="003781"/>
          <w:szCs w:val="20"/>
          <w:bdr w:val="none" w:sz="0" w:space="0" w:color="auto"/>
          <w:lang w:val="el-GR"/>
        </w:rPr>
        <w:t xml:space="preserve"> </w:t>
      </w:r>
      <w:r w:rsidRPr="0088016F">
        <w:rPr>
          <w:rFonts w:eastAsia="Allianz Neo" w:cs="Arial" w:hint="cs"/>
          <w:b/>
          <w:bCs/>
          <w:color w:val="003781"/>
          <w:szCs w:val="20"/>
          <w:bdr w:val="none" w:sz="0" w:space="0" w:color="auto"/>
          <w:lang w:val="el-GR"/>
        </w:rPr>
        <w:t>ασφαλίστρων</w:t>
      </w:r>
      <w:r w:rsidRPr="0088016F">
        <w:rPr>
          <w:rFonts w:eastAsia="Allianz Neo" w:cs="Arial"/>
          <w:b/>
          <w:bCs/>
          <w:color w:val="003781"/>
          <w:szCs w:val="20"/>
          <w:bdr w:val="none" w:sz="0" w:space="0" w:color="auto"/>
          <w:lang w:val="el-GR"/>
        </w:rPr>
        <w:t xml:space="preserve"> </w:t>
      </w:r>
      <w:r w:rsidRPr="0088016F">
        <w:rPr>
          <w:rFonts w:eastAsia="Allianz Neo" w:cs="Arial" w:hint="cs"/>
          <w:b/>
          <w:bCs/>
          <w:color w:val="003781"/>
          <w:szCs w:val="20"/>
          <w:bdr w:val="none" w:sz="0" w:space="0" w:color="auto"/>
          <w:lang w:val="el-GR"/>
        </w:rPr>
        <w:t>αναμένεται</w:t>
      </w:r>
      <w:r w:rsidRPr="0088016F">
        <w:rPr>
          <w:rFonts w:eastAsia="Allianz Neo" w:cs="Arial"/>
          <w:b/>
          <w:bCs/>
          <w:color w:val="003781"/>
          <w:szCs w:val="20"/>
          <w:bdr w:val="none" w:sz="0" w:space="0" w:color="auto"/>
          <w:lang w:val="el-GR"/>
        </w:rPr>
        <w:t xml:space="preserve"> </w:t>
      </w:r>
      <w:r w:rsidRPr="0088016F">
        <w:rPr>
          <w:rFonts w:eastAsia="Allianz Neo" w:cs="Arial" w:hint="cs"/>
          <w:b/>
          <w:bCs/>
          <w:color w:val="003781"/>
          <w:szCs w:val="20"/>
          <w:bdr w:val="none" w:sz="0" w:space="0" w:color="auto"/>
          <w:lang w:val="el-GR"/>
        </w:rPr>
        <w:t>να</w:t>
      </w:r>
      <w:r w:rsidRPr="0088016F">
        <w:rPr>
          <w:rFonts w:eastAsia="Allianz Neo" w:cs="Arial"/>
          <w:b/>
          <w:bCs/>
          <w:color w:val="003781"/>
          <w:szCs w:val="20"/>
          <w:bdr w:val="none" w:sz="0" w:space="0" w:color="auto"/>
          <w:lang w:val="el-GR"/>
        </w:rPr>
        <w:t xml:space="preserve"> </w:t>
      </w:r>
      <w:r w:rsidRPr="0088016F">
        <w:rPr>
          <w:rFonts w:eastAsia="Allianz Neo" w:cs="Arial" w:hint="cs"/>
          <w:b/>
          <w:bCs/>
          <w:color w:val="003781"/>
          <w:szCs w:val="20"/>
          <w:bdr w:val="none" w:sz="0" w:space="0" w:color="auto"/>
          <w:lang w:val="el-GR"/>
        </w:rPr>
        <w:t>αυξηθεί</w:t>
      </w:r>
      <w:r w:rsidRPr="0088016F">
        <w:rPr>
          <w:rFonts w:eastAsia="Allianz Neo" w:cs="Arial"/>
          <w:b/>
          <w:bCs/>
          <w:color w:val="003781"/>
          <w:szCs w:val="20"/>
          <w:bdr w:val="none" w:sz="0" w:space="0" w:color="auto"/>
          <w:lang w:val="el-GR"/>
        </w:rPr>
        <w:t xml:space="preserve"> </w:t>
      </w:r>
      <w:r w:rsidRPr="0088016F">
        <w:rPr>
          <w:rFonts w:eastAsia="Allianz Neo" w:cs="Arial" w:hint="cs"/>
          <w:b/>
          <w:bCs/>
          <w:color w:val="003781"/>
          <w:szCs w:val="20"/>
          <w:bdr w:val="none" w:sz="0" w:space="0" w:color="auto"/>
          <w:lang w:val="el-GR"/>
        </w:rPr>
        <w:t>κατά</w:t>
      </w:r>
      <w:r w:rsidRPr="0088016F">
        <w:rPr>
          <w:rFonts w:eastAsia="Allianz Neo" w:cs="Arial"/>
          <w:b/>
          <w:bCs/>
          <w:color w:val="003781"/>
          <w:szCs w:val="20"/>
          <w:bdr w:val="none" w:sz="0" w:space="0" w:color="auto"/>
          <w:lang w:val="el-GR"/>
        </w:rPr>
        <w:t xml:space="preserve"> 8,6% </w:t>
      </w:r>
      <w:r w:rsidRPr="0088016F">
        <w:rPr>
          <w:rFonts w:eastAsia="Allianz Neo" w:cs="Arial" w:hint="cs"/>
          <w:b/>
          <w:bCs/>
          <w:color w:val="003781"/>
          <w:szCs w:val="20"/>
          <w:bdr w:val="none" w:sz="0" w:space="0" w:color="auto"/>
          <w:lang w:val="el-GR"/>
        </w:rPr>
        <w:t>το</w:t>
      </w:r>
      <w:r w:rsidRPr="0088016F">
        <w:rPr>
          <w:rFonts w:eastAsia="Allianz Neo" w:cs="Arial"/>
          <w:b/>
          <w:bCs/>
          <w:color w:val="003781"/>
          <w:szCs w:val="20"/>
          <w:bdr w:val="none" w:sz="0" w:space="0" w:color="auto"/>
          <w:lang w:val="el-GR"/>
        </w:rPr>
        <w:t xml:space="preserve"> 2024, </w:t>
      </w:r>
      <w:r w:rsidRPr="0088016F">
        <w:rPr>
          <w:rFonts w:eastAsia="Allianz Neo" w:cs="Arial" w:hint="cs"/>
          <w:b/>
          <w:bCs/>
          <w:color w:val="003781"/>
          <w:szCs w:val="20"/>
          <w:bdr w:val="none" w:sz="0" w:space="0" w:color="auto"/>
          <w:lang w:val="el-GR"/>
        </w:rPr>
        <w:t>αγγίζοντας</w:t>
      </w:r>
      <w:r w:rsidRPr="0088016F">
        <w:rPr>
          <w:rFonts w:eastAsia="Allianz Neo" w:cs="Arial"/>
          <w:b/>
          <w:bCs/>
          <w:color w:val="003781"/>
          <w:szCs w:val="20"/>
          <w:bdr w:val="none" w:sz="0" w:space="0" w:color="auto"/>
          <w:lang w:val="el-GR"/>
        </w:rPr>
        <w:t xml:space="preserve"> </w:t>
      </w:r>
      <w:r w:rsidRPr="0088016F">
        <w:rPr>
          <w:rFonts w:eastAsia="Allianz Neo" w:cs="Arial" w:hint="cs"/>
          <w:b/>
          <w:bCs/>
          <w:color w:val="003781"/>
          <w:szCs w:val="20"/>
          <w:bdr w:val="none" w:sz="0" w:space="0" w:color="auto"/>
          <w:lang w:val="el-GR"/>
        </w:rPr>
        <w:t>τα</w:t>
      </w:r>
      <w:r w:rsidRPr="0088016F">
        <w:rPr>
          <w:rFonts w:eastAsia="Allianz Neo" w:cs="Arial"/>
          <w:b/>
          <w:bCs/>
          <w:color w:val="003781"/>
          <w:szCs w:val="20"/>
          <w:bdr w:val="none" w:sz="0" w:space="0" w:color="auto"/>
          <w:lang w:val="el-GR"/>
        </w:rPr>
        <w:t xml:space="preserve"> 557 </w:t>
      </w:r>
      <w:r w:rsidRPr="0088016F">
        <w:rPr>
          <w:rFonts w:eastAsia="Allianz Neo" w:cs="Arial" w:hint="cs"/>
          <w:b/>
          <w:bCs/>
          <w:color w:val="003781"/>
          <w:szCs w:val="20"/>
          <w:bdr w:val="none" w:sz="0" w:space="0" w:color="auto"/>
          <w:lang w:val="el-GR"/>
        </w:rPr>
        <w:t>δισ</w:t>
      </w:r>
      <w:r w:rsidRPr="0088016F">
        <w:rPr>
          <w:rFonts w:eastAsia="Allianz Neo" w:cs="Arial"/>
          <w:b/>
          <w:bCs/>
          <w:color w:val="003781"/>
          <w:szCs w:val="20"/>
          <w:bdr w:val="none" w:sz="0" w:space="0" w:color="auto"/>
          <w:lang w:val="el-GR"/>
        </w:rPr>
        <w:t xml:space="preserve">. </w:t>
      </w:r>
      <w:r w:rsidRPr="0088016F">
        <w:rPr>
          <w:rFonts w:eastAsia="Allianz Neo" w:cs="Arial" w:hint="cs"/>
          <w:b/>
          <w:bCs/>
          <w:color w:val="003781"/>
          <w:szCs w:val="20"/>
          <w:bdr w:val="none" w:sz="0" w:space="0" w:color="auto"/>
          <w:lang w:val="el-GR"/>
        </w:rPr>
        <w:t>ευρώ</w:t>
      </w:r>
    </w:p>
    <w:p w14:paraId="3941335D" w14:textId="77777777" w:rsidR="0088016F" w:rsidRPr="0088016F" w:rsidRDefault="0088016F" w:rsidP="0088016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80" w:line="280" w:lineRule="atLeast"/>
        <w:contextualSpacing/>
        <w:rPr>
          <w:rFonts w:eastAsia="Allianz Neo" w:cs="Arial"/>
          <w:b/>
          <w:bCs/>
          <w:color w:val="003781"/>
          <w:szCs w:val="20"/>
          <w:bdr w:val="none" w:sz="0" w:space="0" w:color="auto"/>
          <w:lang w:val="el-GR"/>
        </w:rPr>
      </w:pPr>
      <w:r w:rsidRPr="0088016F">
        <w:rPr>
          <w:rFonts w:eastAsia="Allianz Neo" w:cs="Arial"/>
          <w:b/>
          <w:bCs/>
          <w:color w:val="003781"/>
          <w:szCs w:val="20"/>
          <w:bdr w:val="none" w:sz="0" w:space="0" w:color="auto"/>
          <w:lang w:val="el-GR"/>
        </w:rPr>
        <w:t>Ελλάδα: Ισχυρή ανάπτυξη σε όλους τους τομείς, με την αγορά να ενισχύεται κατά 8,1%</w:t>
      </w:r>
    </w:p>
    <w:p w14:paraId="155C4BAF" w14:textId="77777777" w:rsidR="0088016F" w:rsidRPr="0088016F" w:rsidRDefault="0088016F" w:rsidP="0088016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80" w:line="280" w:lineRule="atLeast"/>
        <w:contextualSpacing/>
        <w:rPr>
          <w:rFonts w:eastAsia="Allianz Neo" w:cs="Arial"/>
          <w:b/>
          <w:bCs/>
          <w:color w:val="003781"/>
          <w:szCs w:val="20"/>
          <w:bdr w:val="none" w:sz="0" w:space="0" w:color="auto"/>
          <w:lang w:val="el-GR"/>
        </w:rPr>
      </w:pPr>
      <w:r w:rsidRPr="0088016F">
        <w:rPr>
          <w:rFonts w:eastAsia="Allianz Neo" w:cs="Arial"/>
          <w:b/>
          <w:bCs/>
          <w:color w:val="003781"/>
          <w:szCs w:val="20"/>
          <w:bdr w:val="none" w:sz="0" w:space="0" w:color="auto"/>
          <w:lang w:val="el-GR"/>
        </w:rPr>
        <w:t>Προοπτικές: Η αυξανόμενη ανάγκη για προστασία διασφαλίζει σταθερή ετήσια ανάπτυξη της τάξεως του +5,3% για την επόμενη δεκαετία</w:t>
      </w:r>
    </w:p>
    <w:p w14:paraId="10D02456" w14:textId="77777777" w:rsidR="0088016F" w:rsidRPr="0088016F" w:rsidRDefault="0088016F" w:rsidP="0088016F">
      <w:pPr>
        <w:pBdr>
          <w:top w:val="none" w:sz="0" w:space="0" w:color="auto"/>
          <w:left w:val="none" w:sz="0" w:space="0" w:color="auto"/>
          <w:bottom w:val="single" w:sz="6" w:space="1" w:color="auto"/>
          <w:right w:val="none" w:sz="0" w:space="0" w:color="auto"/>
          <w:between w:val="none" w:sz="0" w:space="0" w:color="auto"/>
          <w:bar w:val="none" w:sz="0" w:color="auto"/>
        </w:pBdr>
        <w:spacing w:line="276" w:lineRule="auto"/>
        <w:rPr>
          <w:rFonts w:ascii="Allianz Neo" w:eastAsia="Allianz Neo" w:hAnsi="Allianz Neo" w:cs="Times New Roman"/>
          <w:color w:val="003781"/>
          <w:sz w:val="20"/>
          <w:szCs w:val="18"/>
          <w:bdr w:val="none" w:sz="0" w:space="0" w:color="auto"/>
          <w:lang w:val="el-GR"/>
        </w:rPr>
      </w:pPr>
    </w:p>
    <w:p w14:paraId="1C0EADB8"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367"/>
        <w:rPr>
          <w:rFonts w:ascii="Allianz Neo" w:eastAsia="Allianz Neo" w:hAnsi="Allianz Neo" w:cs="Times New Roman"/>
          <w:color w:val="003781"/>
          <w:sz w:val="20"/>
          <w:szCs w:val="18"/>
          <w:bdr w:val="none" w:sz="0" w:space="0" w:color="auto"/>
          <w:lang w:val="el-GR"/>
        </w:rPr>
      </w:pPr>
    </w:p>
    <w:p w14:paraId="7A2B2157"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eastAsia="SimSun" w:cs="Arial"/>
          <w:color w:val="003781"/>
          <w:sz w:val="20"/>
          <w:szCs w:val="20"/>
          <w:bdr w:val="none" w:sz="0" w:space="0" w:color="auto"/>
          <w:lang w:val="el-GR"/>
        </w:rPr>
      </w:pPr>
      <w:r w:rsidRPr="0088016F">
        <w:rPr>
          <w:rFonts w:eastAsia="Allianz Neo" w:cs="Arial"/>
          <w:b/>
          <w:bCs/>
          <w:color w:val="003781"/>
          <w:sz w:val="20"/>
          <w:szCs w:val="20"/>
          <w:bdr w:val="none" w:sz="0" w:space="0" w:color="auto"/>
          <w:lang w:val="el-GR"/>
        </w:rPr>
        <w:t>Χαλάνδρι, 27 Μαΐου 2025</w:t>
      </w:r>
      <w:r w:rsidRPr="0088016F">
        <w:rPr>
          <w:rFonts w:eastAsia="Allianz Neo" w:cs="Arial"/>
          <w:color w:val="003781"/>
          <w:sz w:val="20"/>
          <w:szCs w:val="20"/>
          <w:bdr w:val="none" w:sz="0" w:space="0" w:color="auto"/>
          <w:lang w:val="el-GR"/>
        </w:rPr>
        <w:t xml:space="preserve"> – Η </w:t>
      </w:r>
      <w:r w:rsidRPr="0088016F">
        <w:rPr>
          <w:rFonts w:eastAsia="SimSun" w:cs="Arial"/>
          <w:b/>
          <w:bCs/>
          <w:color w:val="003781"/>
          <w:sz w:val="20"/>
          <w:szCs w:val="20"/>
          <w:bdr w:val="none" w:sz="0" w:space="0" w:color="auto"/>
          <w:lang w:val="el-GR"/>
        </w:rPr>
        <w:t>Allianz Research</w:t>
      </w:r>
      <w:r w:rsidRPr="0088016F">
        <w:rPr>
          <w:rFonts w:eastAsia="SimSun" w:cs="Arial"/>
          <w:color w:val="003781"/>
          <w:sz w:val="20"/>
          <w:szCs w:val="20"/>
          <w:bdr w:val="none" w:sz="0" w:space="0" w:color="auto"/>
          <w:lang w:val="el-GR"/>
        </w:rPr>
        <w:t xml:space="preserve"> δημοσίευσε σήμερα τη νεότερη έκδοση της </w:t>
      </w:r>
      <w:r w:rsidRPr="0088016F">
        <w:rPr>
          <w:rFonts w:eastAsia="SimSun" w:cs="Arial" w:hint="cs"/>
          <w:color w:val="003781"/>
          <w:sz w:val="20"/>
          <w:szCs w:val="20"/>
          <w:bdr w:val="none" w:sz="0" w:space="0" w:color="auto"/>
          <w:lang w:val="el-GR"/>
        </w:rPr>
        <w:t>ετήσια</w:t>
      </w:r>
      <w:r w:rsidRPr="0088016F">
        <w:rPr>
          <w:rFonts w:eastAsia="SimSun" w:cs="Arial"/>
          <w:color w:val="003781"/>
          <w:sz w:val="20"/>
          <w:szCs w:val="20"/>
          <w:bdr w:val="none" w:sz="0" w:space="0" w:color="auto"/>
          <w:lang w:val="el-GR"/>
        </w:rPr>
        <w:t xml:space="preserve">ς </w:t>
      </w:r>
      <w:r w:rsidRPr="0088016F">
        <w:rPr>
          <w:rFonts w:eastAsia="SimSun" w:cs="Arial" w:hint="cs"/>
          <w:color w:val="003781"/>
          <w:sz w:val="20"/>
          <w:szCs w:val="20"/>
          <w:bdr w:val="none" w:sz="0" w:space="0" w:color="auto"/>
          <w:lang w:val="el-GR"/>
        </w:rPr>
        <w:t>έκθεση</w:t>
      </w:r>
      <w:r w:rsidRPr="0088016F">
        <w:rPr>
          <w:rFonts w:eastAsia="SimSun" w:cs="Arial"/>
          <w:color w:val="003781"/>
          <w:sz w:val="20"/>
          <w:szCs w:val="20"/>
          <w:bdr w:val="none" w:sz="0" w:space="0" w:color="auto"/>
          <w:lang w:val="el-GR"/>
        </w:rPr>
        <w:t>ς «Global Insurance Report», η οποία αναλύει τις εξελίξεις στις ασφαλιστικές αγορές παγκοσμίως.</w:t>
      </w:r>
    </w:p>
    <w:p w14:paraId="63AAFAF8"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Allianz Neo" w:cs="Arial"/>
          <w:b/>
          <w:bCs/>
          <w:color w:val="003781"/>
          <w:sz w:val="20"/>
          <w:szCs w:val="20"/>
          <w:bdr w:val="none" w:sz="0" w:space="0" w:color="auto"/>
          <w:lang w:val="el-GR"/>
        </w:rPr>
      </w:pPr>
    </w:p>
    <w:p w14:paraId="316AD961"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Allianz Neo" w:cs="Arial"/>
          <w:b/>
          <w:bCs/>
          <w:color w:val="003781"/>
          <w:sz w:val="20"/>
          <w:szCs w:val="20"/>
          <w:bdr w:val="none" w:sz="0" w:space="0" w:color="auto"/>
          <w:lang w:val="el-GR"/>
        </w:rPr>
      </w:pPr>
      <w:r w:rsidRPr="0088016F">
        <w:rPr>
          <w:rFonts w:eastAsia="Allianz Neo" w:cs="Arial" w:hint="cs"/>
          <w:b/>
          <w:bCs/>
          <w:color w:val="003781"/>
          <w:sz w:val="20"/>
          <w:szCs w:val="20"/>
          <w:bdr w:val="none" w:sz="0" w:space="0" w:color="auto"/>
          <w:lang w:val="el-GR"/>
        </w:rPr>
        <w:t>Παγκόσμια</w:t>
      </w:r>
      <w:r w:rsidRPr="0088016F">
        <w:rPr>
          <w:rFonts w:eastAsia="Allianz Neo" w:cs="Arial"/>
          <w:b/>
          <w:bCs/>
          <w:color w:val="003781"/>
          <w:sz w:val="20"/>
          <w:szCs w:val="20"/>
          <w:bdr w:val="none" w:sz="0" w:space="0" w:color="auto"/>
          <w:lang w:val="el-GR"/>
        </w:rPr>
        <w:t xml:space="preserve"> </w:t>
      </w:r>
      <w:r w:rsidRPr="0088016F">
        <w:rPr>
          <w:rFonts w:eastAsia="Allianz Neo" w:cs="Arial" w:hint="cs"/>
          <w:b/>
          <w:bCs/>
          <w:color w:val="003781"/>
          <w:sz w:val="20"/>
          <w:szCs w:val="20"/>
          <w:bdr w:val="none" w:sz="0" w:space="0" w:color="auto"/>
          <w:lang w:val="el-GR"/>
        </w:rPr>
        <w:t>αγορά</w:t>
      </w:r>
      <w:r w:rsidRPr="0088016F">
        <w:rPr>
          <w:rFonts w:eastAsia="Allianz Neo" w:cs="Arial"/>
          <w:b/>
          <w:bCs/>
          <w:color w:val="003781"/>
          <w:sz w:val="20"/>
          <w:szCs w:val="20"/>
          <w:bdr w:val="none" w:sz="0" w:space="0" w:color="auto"/>
          <w:lang w:val="el-GR"/>
        </w:rPr>
        <w:t>: Εντυπωσιακή ανάπτυξη</w:t>
      </w:r>
    </w:p>
    <w:p w14:paraId="6B223D8B"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SimSun" w:cs="Arial"/>
          <w:color w:val="003781"/>
          <w:sz w:val="20"/>
          <w:szCs w:val="20"/>
          <w:bdr w:val="none" w:sz="0" w:space="0" w:color="auto"/>
          <w:lang w:val="el-GR" w:eastAsia="de-DE"/>
        </w:rPr>
      </w:pPr>
      <w:r w:rsidRPr="0088016F">
        <w:rPr>
          <w:rFonts w:eastAsia="SimSun" w:cs="Arial"/>
          <w:color w:val="003781"/>
          <w:sz w:val="20"/>
          <w:szCs w:val="20"/>
          <w:bdr w:val="none" w:sz="0" w:space="0" w:color="auto"/>
          <w:lang w:val="el-GR" w:eastAsia="de-DE"/>
        </w:rPr>
        <w:t>Σύμφωνα με την έκθεση, η παγκόσμια ασφαλιστική αγορά εκτιμάται ότι σημείωσε ανάπτυξη της τάξης του 8,6% το 2024, υπερβαίνοντας την ήδη εντυπωσιακή αύξηση της τάξεως του 8,2% του προηγούμενου έτους. Οι ασφαλιστικές εταιρείες παγκοσμίως κατέγραψαν αύξηση ασφαλίστρων ύψους 557 δισ. ευρώ, ανεβάζοντας το συνολικό ύψος ασφαλίστρων στα 7,0 τρισ. ευρώ. Ο κλάδος της ασφάλισης ζωής παρέμεινε ο μεγαλύτερος τομέας, με έσοδα από ασφάλιστρα ύψους 2.902 δισ. ευρώ, ενώ ακολούθησαν οι ασφάλειες περιουσίας και ατυχημάτων (P&amp;C) με 2.424 δισ. ευρώ και υγείας με 1.682 δισ. ευρώ.</w:t>
      </w:r>
    </w:p>
    <w:p w14:paraId="1B9FFF80"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SimSun" w:cs="Arial"/>
          <w:color w:val="003781"/>
          <w:sz w:val="20"/>
          <w:szCs w:val="20"/>
          <w:bdr w:val="none" w:sz="0" w:space="0" w:color="auto"/>
          <w:lang w:val="el-GR" w:eastAsia="de-DE"/>
        </w:rPr>
      </w:pPr>
      <w:r w:rsidRPr="0088016F">
        <w:rPr>
          <w:rFonts w:eastAsia="SimSun" w:cs="Arial"/>
          <w:color w:val="003781"/>
          <w:sz w:val="20"/>
          <w:szCs w:val="20"/>
          <w:bdr w:val="none" w:sz="0" w:space="0" w:color="auto"/>
          <w:lang w:val="el-GR" w:eastAsia="de-DE"/>
        </w:rPr>
        <w:t>Η ασφάλιση περιουσίας και ατυχημάτων (P&amp;C) κατέγραψε το προηγούμενο έτος ανάπτυξη +7,7%, ελαφρώς χαμηλότερη από το +8,3% του 2023. Αξίζει να σημειωθεί ότι η ανάπτυξη οφείλεται κυρίως στη μεγαλύτερη αγορά, αυτή της Βόρειας Αμερικής, όπου τα ασφάλιστρα αυξήθηκαν κατά +8,2%. Πάνω από το 50% των παγκόσμιων ασφαλίστρων προέρχεται από την περιοχή αυτή. Ενώ τα ασφάλιστρα στη Δυτική Ευρώπη αυξήθηκαν κατά +6,0%, η ασιατική αγορά παρουσίασε πιο συγκρατημένη δυναμική, με ανάπτυξη μόλις +4,0%. Έτσι, η ασιατική αγορά παραμένει μικρότερη από τη δυτικοευρωπαϊκή.</w:t>
      </w:r>
    </w:p>
    <w:p w14:paraId="64198AAB"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SimSun" w:cs="Arial"/>
          <w:color w:val="003781"/>
          <w:sz w:val="20"/>
          <w:szCs w:val="20"/>
          <w:bdr w:val="none" w:sz="0" w:space="0" w:color="auto"/>
          <w:lang w:val="el-GR" w:eastAsia="de-DE"/>
        </w:rPr>
      </w:pPr>
      <w:r w:rsidRPr="0088016F">
        <w:rPr>
          <w:rFonts w:eastAsia="SimSun" w:cs="Arial"/>
          <w:color w:val="003781"/>
          <w:sz w:val="20"/>
          <w:szCs w:val="20"/>
          <w:bdr w:val="none" w:sz="0" w:space="0" w:color="auto"/>
          <w:lang w:val="el-GR" w:eastAsia="de-DE"/>
        </w:rPr>
        <w:t xml:space="preserve">Η ασφάλιση ζωής παρουσίασε ανάπτυξη 10,4% το 2024, ξεπερνώντας και τους δύο άλλους κλάδους, καταγράφοντας μάλιστα υψηλότερο ρυθμό ανάπτυξης από το 2023 (+8,2%). Ο βασικός μοχλός αυτής της ανάπτυξης ήταν για άλλη μια φορά η Βόρεια Αμερική, με την εντυπωσιακή αύξηση του +14,4%. Καθώς τα επιτόκια έφτασαν σε νέα υψηλά επίπεδα, υπήρξε έντονη ζήτηση για συνταξιοδοτικά προϊόντα. Τα υψηλότερα επιτόκια συνέβαλαν επίσης στην αύξηση των ασφαλίστρων στη Δυτική Ευρώπη (+7,1%). Στην Ασία, οι περισσότερες αγορές σημείωσαν έντονη ανάπτυξη, με πρωτοπόρα την Κίνα, καταγράφοντας ρυθμό αύξησης 15,4%. Σε αντίθεση με την κυριαρχία των ΗΠΑ στον κλάδο P&amp;C, τα μερίδια της παγκόσμιας αγοράς στην ασφάλιση ζωής κατανέμονται ισομερώς, με την Ασία (συμπεριλαμβανομένων Ιαπωνίας και Κίνας) να κατέχει πάνω από το ένα τρίτο των συνολικών ασφαλίστρων. </w:t>
      </w:r>
    </w:p>
    <w:p w14:paraId="42E9B2AA"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SimSun" w:cs="Arial"/>
          <w:color w:val="003781"/>
          <w:sz w:val="20"/>
          <w:szCs w:val="20"/>
          <w:bdr w:val="none" w:sz="0" w:space="0" w:color="auto"/>
          <w:lang w:val="el-GR" w:eastAsia="de-DE"/>
        </w:rPr>
      </w:pPr>
      <w:r w:rsidRPr="0088016F">
        <w:rPr>
          <w:rFonts w:eastAsia="SimSun" w:cs="Arial"/>
          <w:color w:val="003781"/>
          <w:sz w:val="20"/>
          <w:szCs w:val="20"/>
          <w:bdr w:val="none" w:sz="0" w:space="0" w:color="auto"/>
          <w:lang w:val="el-GR" w:eastAsia="de-DE"/>
        </w:rPr>
        <w:t xml:space="preserve">Η ασφάλιση υγείας κατέγραψε αύξηση 7,0%, με τη ζήτηση να παραμένει ιδιαίτερα ισχυρή, ειδικά στην Ασία, όπου η ανάπτυξη έφτασε το 12,6%. Αυτό αντανακλά τη χαμηλή ασφαλιστική διείσδυση στην περιοχή (ασφάλιστρα ως ποσοστό του ΑΕΠ), η οποία παραμένει κάτω του 1% σε όλες τις αγορές, εκτός από την Ταϊβάν. Ακόμη περισσότερο από ό,τι στην ασφάλιση ζωής, η </w:t>
      </w:r>
      <w:r w:rsidRPr="0088016F">
        <w:rPr>
          <w:rFonts w:eastAsia="SimSun" w:cs="Arial"/>
          <w:color w:val="003781"/>
          <w:sz w:val="20"/>
          <w:szCs w:val="20"/>
          <w:bdr w:val="none" w:sz="0" w:space="0" w:color="auto"/>
          <w:lang w:val="el-GR" w:eastAsia="de-DE"/>
        </w:rPr>
        <w:lastRenderedPageBreak/>
        <w:t>ζήτηση καθορίζεται από την κατάσταση του δημόσιου συστήματος κοινωνικής πρόνοιας, δηλαδή το επίπεδο και την ποιότητα της δημόσιας υγειονομικής περίθαλψης.</w:t>
      </w:r>
    </w:p>
    <w:p w14:paraId="1A77F6DB"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SimSun" w:cs="Arial"/>
          <w:color w:val="003781"/>
          <w:sz w:val="20"/>
          <w:szCs w:val="20"/>
          <w:bdr w:val="none" w:sz="0" w:space="0" w:color="auto"/>
          <w:lang w:val="el-GR" w:eastAsia="de-DE"/>
        </w:rPr>
      </w:pPr>
      <w:r w:rsidRPr="0088016F">
        <w:rPr>
          <w:rFonts w:eastAsia="SimSun" w:cs="Arial"/>
          <w:color w:val="003781"/>
          <w:sz w:val="20"/>
          <w:szCs w:val="20"/>
          <w:bdr w:val="none" w:sz="0" w:space="0" w:color="auto"/>
          <w:lang w:val="el-GR" w:eastAsia="de-DE"/>
        </w:rPr>
        <w:t>Οι γεωπολιτικές αβεβαιότητες και οι εμπορικές εντάσεις ενδέχεται να επιβαρύνουν τον όγκο των ασφαλίσεων, εξαιτίας της επιβράδυνσης της οικονομικής ανάπτυξης, της κάμψης του εμπορίου και της αύξησης των πιστωτικών και αγοραίων κινδύνων. Από την άλλη πλευρά, είναι πιθανό να εμφανιστεί ένα «φαινόμενο προστασίας», καθώς οι επιχειρήσεις αναζητούν περισσότερες λύσεις διαχείρισης κινδύνων μέσα σε αυτό το αβέβαιο και γεμάτο κρίσεις περιβάλλον. Μακροπρόθεσμα, ο χρηματοπιστωτικός κατακερματισμός και η αποδυνάμωση της διεθνούς συνεργασίας, συμπεριλαμβανομένων των τομέων της κλιματικής αλλαγής, της κυβερνοασφάλειας ή της προετοιμασίας για πανδημίες, θα μπορούσαν να αυξήσουν το κόστος ασφάλισης αυτών των κινδύνων.</w:t>
      </w:r>
    </w:p>
    <w:p w14:paraId="0745F3E6"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Allianz Neo" w:cs="Arial"/>
          <w:b/>
          <w:bCs/>
          <w:color w:val="003781"/>
          <w:sz w:val="20"/>
          <w:szCs w:val="20"/>
          <w:bdr w:val="none" w:sz="0" w:space="0" w:color="auto"/>
          <w:lang w:val="el-GR"/>
        </w:rPr>
      </w:pPr>
      <w:r w:rsidRPr="0088016F">
        <w:rPr>
          <w:rFonts w:eastAsia="Allianz Neo" w:cs="Arial"/>
          <w:b/>
          <w:bCs/>
          <w:color w:val="003781"/>
          <w:sz w:val="20"/>
          <w:szCs w:val="20"/>
          <w:bdr w:val="none" w:sz="0" w:space="0" w:color="auto"/>
          <w:lang w:val="el-GR"/>
        </w:rPr>
        <w:t>Ελλάδα: Ισχυρή ανάπτυξη σε όλους τους τομείς</w:t>
      </w:r>
    </w:p>
    <w:p w14:paraId="21AA64D8" w14:textId="780ED97E"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Allianz Neo" w:cs="Arial"/>
          <w:color w:val="003781"/>
          <w:sz w:val="20"/>
          <w:szCs w:val="20"/>
          <w:bdr w:val="none" w:sz="0" w:space="0" w:color="auto"/>
          <w:lang w:val="el-GR"/>
        </w:rPr>
      </w:pPr>
      <w:r w:rsidRPr="0088016F">
        <w:rPr>
          <w:rFonts w:eastAsia="SimSun" w:cs="Arial"/>
          <w:color w:val="003781"/>
          <w:sz w:val="20"/>
          <w:szCs w:val="20"/>
          <w:bdr w:val="none" w:sz="0" w:space="0" w:color="auto"/>
          <w:lang w:val="el-GR" w:eastAsia="de-DE"/>
        </w:rPr>
        <w:t>Η ελληνική ασφαλιστική αγορά κατέγραψε ισχυρή ανάπτυξη ύψους 8,1% το 2024, με συνολικά ασφάλιστρα ύψους 5,7 δισ. ευρώ. Αυτό σηματοδοτεί ότι η αγορά έχει πλέον αφήσει πίσω της τα δύσκολα χρόνια της κρίσης του ευρώ και έχει ξεπεράσει τα επίπεδα που είχαν καταγραφεί πριν από περίπου 15 χρόνια. Ωστόσο, η Ελλάδα παραμένει η μικρότερη αγορά στην περιοχή, καθώς τα ελληνικά νοικοκυριά δαπανούν λιγότερα σε σχέση με όλα τα κράτη, για ασφάλιση: η ασφαλιστική διείσδυση παραμένει χαμηλή, στο 2,5%, έναντι του περιφερειακού μέσου όρου 7,8%. Όλοι οι τομείς συνέβαλαν σε αυτή την ισχυρή ανάπτυξη: Η ασφάλιση περιουσίας και ατυχημάτων (P&amp;C) συνέχισε να αυξάνεται με ρυθμό 9,6%</w:t>
      </w:r>
      <w:r w:rsidR="00555FBD" w:rsidRPr="00555FBD">
        <w:rPr>
          <w:rFonts w:eastAsia="SimSun" w:cs="Arial"/>
          <w:color w:val="003781"/>
          <w:sz w:val="20"/>
          <w:szCs w:val="20"/>
          <w:bdr w:val="none" w:sz="0" w:space="0" w:color="auto"/>
          <w:lang w:val="el-GR" w:eastAsia="de-DE"/>
        </w:rPr>
        <w:t xml:space="preserve"> </w:t>
      </w:r>
      <w:r w:rsidRPr="0088016F">
        <w:rPr>
          <w:rFonts w:eastAsia="SimSun" w:cs="Arial"/>
          <w:color w:val="003781"/>
          <w:sz w:val="20"/>
          <w:szCs w:val="20"/>
          <w:bdr w:val="none" w:sz="0" w:space="0" w:color="auto"/>
          <w:lang w:val="el-GR" w:eastAsia="de-DE"/>
        </w:rPr>
        <w:t>και οριακά υψηλότερο από το +9,2% του προηγούμενου έτους. Η ασφάλιση ζωής σημείωσε άνοδο 6,6% (σε σχέση με το +5,7% του 2023).</w:t>
      </w:r>
      <w:r w:rsidR="004E3164">
        <w:rPr>
          <w:rFonts w:eastAsia="SimSun" w:cs="Arial"/>
          <w:color w:val="003781"/>
          <w:sz w:val="20"/>
          <w:szCs w:val="20"/>
          <w:bdr w:val="none" w:sz="0" w:space="0" w:color="auto"/>
          <w:lang w:val="el-GR" w:eastAsia="de-DE"/>
        </w:rPr>
        <w:t xml:space="preserve"> </w:t>
      </w:r>
      <w:r w:rsidRPr="0088016F">
        <w:rPr>
          <w:rFonts w:eastAsia="SimSun" w:cs="Arial"/>
          <w:color w:val="003781"/>
          <w:sz w:val="20"/>
          <w:szCs w:val="20"/>
          <w:bdr w:val="none" w:sz="0" w:space="0" w:color="auto"/>
          <w:lang w:val="el-GR" w:eastAsia="de-DE"/>
        </w:rPr>
        <w:t>Με μερίδιο περίπου 9% στο σύνολο των ασφαλίστρων, η ασφάλιση υγείας παραμένει κατά πολύ ο μικρότερος τομέας της αγοράς.</w:t>
      </w:r>
    </w:p>
    <w:p w14:paraId="20EB8557"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Allianz Neo" w:cs="Arial"/>
          <w:b/>
          <w:bCs/>
          <w:color w:val="003781"/>
          <w:sz w:val="20"/>
          <w:szCs w:val="20"/>
          <w:bdr w:val="none" w:sz="0" w:space="0" w:color="auto"/>
          <w:lang w:val="el-GR"/>
        </w:rPr>
      </w:pPr>
      <w:r w:rsidRPr="0088016F">
        <w:rPr>
          <w:rFonts w:eastAsia="Allianz Neo" w:cs="Arial"/>
          <w:b/>
          <w:bCs/>
          <w:color w:val="003781"/>
          <w:sz w:val="20"/>
          <w:szCs w:val="20"/>
          <w:bdr w:val="none" w:sz="0" w:space="0" w:color="auto"/>
          <w:lang w:val="el-GR"/>
        </w:rPr>
        <w:t>Προοπτικές: Αυξανόμενη η ζήτηση για προστασία</w:t>
      </w:r>
    </w:p>
    <w:p w14:paraId="06673067"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SimSun" w:cs="Arial"/>
          <w:color w:val="003781"/>
          <w:sz w:val="20"/>
          <w:szCs w:val="20"/>
          <w:bdr w:val="none" w:sz="0" w:space="0" w:color="auto"/>
          <w:lang w:val="el-GR" w:eastAsia="de-DE"/>
        </w:rPr>
      </w:pPr>
      <w:r w:rsidRPr="0088016F">
        <w:rPr>
          <w:rFonts w:eastAsia="SimSun" w:cs="Arial"/>
          <w:color w:val="003781"/>
          <w:sz w:val="20"/>
          <w:szCs w:val="20"/>
          <w:bdr w:val="none" w:sz="0" w:space="0" w:color="auto"/>
          <w:lang w:val="el-GR" w:eastAsia="de-DE"/>
        </w:rPr>
        <w:t>Σύμφωνα με την έκθεση, οι προοπτικές για την Ευρώπη είναι πιο αισιόδοξες φέτος, ιδίως για τον κλάδο ασφαλίσεων περιουσίας και ατυχημάτων (P&amp;C). Δύο είναι οι βασικοί λόγοι: Πρώτον, η αναμενόμενη άνθηση στις επενδύσεις για την άμυνα και τις υποδομές αναμένεται να έχει θετική επίδραση και στον ασφαλιστικό τομέα. Δεύτερον, η περαιτέρω αύξηση των φυσικών καταστροφών θα οδηγήσει σε υψηλότερα ασφάλιστρα. Με ποσοστό διείσδυσης ασφάλισης μόλις 2,5%, τα ευρωπαϊκά νοικοκυριά και επιχειρήσεις προς το παρόν δαπανούν σχετικά λίγα για κάλυψη σε αυτό τον τομέα, σε σύγκριση με το 4,4% στις ΗΠΑ, κάτι που επρόκειτο να αλλάξει τα επόμενα χρόνια. Ως εκ τούτου, προβλέπεται ετήσια αύξηση ασφαλίστρων στην ευρωπαϊκή ασφάλιση P&amp;C κατά 4,2%, δηλαδή αύξηση 0,6 ποσοστιαίων μονάδων σε σχέση με την προηγούμενη πρόβλεψή μας. Αντιθέτως, για τις ΗΠΑ και την Ασία, οι προβλέψεις για τον κλάδο P&amp;C έχουν αναθεωρηθεί ελαφρώς προς τα κάτω.</w:t>
      </w:r>
    </w:p>
    <w:p w14:paraId="3FB89212"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SimSun" w:cs="Arial"/>
          <w:color w:val="003781"/>
          <w:sz w:val="20"/>
          <w:szCs w:val="20"/>
          <w:bdr w:val="none" w:sz="0" w:space="0" w:color="auto"/>
          <w:lang w:val="el-GR" w:eastAsia="de-DE"/>
        </w:rPr>
      </w:pPr>
      <w:r w:rsidRPr="0088016F">
        <w:rPr>
          <w:rFonts w:eastAsia="SimSun" w:cs="Arial"/>
          <w:color w:val="003781"/>
          <w:sz w:val="20"/>
          <w:szCs w:val="20"/>
          <w:bdr w:val="none" w:sz="0" w:space="0" w:color="auto"/>
          <w:lang w:val="el-GR" w:eastAsia="de-DE"/>
        </w:rPr>
        <w:t xml:space="preserve">Συνολικά, η παγκόσμια ασφαλιστική αγορά αναμένεται να σημειώσει ετήσιο ρυθμό 5,3% κατά την επόμενη δεκαετία, λίγο υψηλότερα από το παγκόσμιο ΑΕΠ. Για την Ελλάδα, η συνολική ετήσια αύξηση προβλέπεται στο +5,3% (ονομαστικό ΑΕΠ: 3,3%). </w:t>
      </w:r>
      <w:r w:rsidRPr="0088016F">
        <w:rPr>
          <w:rFonts w:eastAsia="SimSun" w:cs="Arial" w:hint="cs"/>
          <w:color w:val="003781"/>
          <w:sz w:val="20"/>
          <w:szCs w:val="20"/>
          <w:bdr w:val="none" w:sz="0" w:space="0" w:color="auto"/>
          <w:lang w:val="el-GR" w:eastAsia="de-DE"/>
        </w:rPr>
        <w:t>Στον</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κλάδο</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των</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ασφαλίσεων</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περιουσίας</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και</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ατυχημάτων</w:t>
      </w:r>
      <w:r w:rsidRPr="0088016F">
        <w:rPr>
          <w:rFonts w:eastAsia="SimSun" w:cs="Arial"/>
          <w:color w:val="003781"/>
          <w:sz w:val="20"/>
          <w:szCs w:val="20"/>
          <w:bdr w:val="none" w:sz="0" w:space="0" w:color="auto"/>
          <w:lang w:val="el-GR" w:eastAsia="de-DE"/>
        </w:rPr>
        <w:t xml:space="preserve"> (P&amp;C), </w:t>
      </w:r>
      <w:r w:rsidRPr="0088016F">
        <w:rPr>
          <w:rFonts w:eastAsia="SimSun" w:cs="Arial" w:hint="cs"/>
          <w:color w:val="003781"/>
          <w:sz w:val="20"/>
          <w:szCs w:val="20"/>
          <w:bdr w:val="none" w:sz="0" w:space="0" w:color="auto"/>
          <w:lang w:val="el-GR" w:eastAsia="de-DE"/>
        </w:rPr>
        <w:t>αναμένουμε</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ετήσια</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αύξηση</w:t>
      </w:r>
      <w:r w:rsidRPr="0088016F">
        <w:rPr>
          <w:rFonts w:eastAsia="SimSun" w:cs="Arial"/>
          <w:color w:val="003781"/>
          <w:sz w:val="20"/>
          <w:szCs w:val="20"/>
          <w:bdr w:val="none" w:sz="0" w:space="0" w:color="auto"/>
          <w:lang w:val="el-GR" w:eastAsia="de-DE"/>
        </w:rPr>
        <w:t xml:space="preserve"> +4,5% </w:t>
      </w:r>
      <w:r w:rsidRPr="0088016F">
        <w:rPr>
          <w:rFonts w:eastAsia="SimSun" w:cs="Arial" w:hint="cs"/>
          <w:color w:val="003781"/>
          <w:sz w:val="20"/>
          <w:szCs w:val="20"/>
          <w:bdr w:val="none" w:sz="0" w:space="0" w:color="auto"/>
          <w:lang w:val="el-GR" w:eastAsia="de-DE"/>
        </w:rPr>
        <w:t>έως</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το</w:t>
      </w:r>
      <w:r w:rsidRPr="0088016F">
        <w:rPr>
          <w:rFonts w:eastAsia="SimSun" w:cs="Arial"/>
          <w:color w:val="003781"/>
          <w:sz w:val="20"/>
          <w:szCs w:val="20"/>
          <w:bdr w:val="none" w:sz="0" w:space="0" w:color="auto"/>
          <w:lang w:val="el-GR" w:eastAsia="de-DE"/>
        </w:rPr>
        <w:t xml:space="preserve"> 2035 (</w:t>
      </w:r>
      <w:r w:rsidRPr="0088016F">
        <w:rPr>
          <w:rFonts w:eastAsia="SimSun" w:cs="Arial" w:hint="cs"/>
          <w:color w:val="003781"/>
          <w:sz w:val="20"/>
          <w:szCs w:val="20"/>
          <w:bdr w:val="none" w:sz="0" w:space="0" w:color="auto"/>
          <w:lang w:val="el-GR" w:eastAsia="de-DE"/>
        </w:rPr>
        <w:t>Ελλάδα</w:t>
      </w:r>
      <w:r w:rsidRPr="0088016F">
        <w:rPr>
          <w:rFonts w:eastAsia="SimSun" w:cs="Arial"/>
          <w:color w:val="003781"/>
          <w:sz w:val="20"/>
          <w:szCs w:val="20"/>
          <w:bdr w:val="none" w:sz="0" w:space="0" w:color="auto"/>
          <w:lang w:val="el-GR" w:eastAsia="de-DE"/>
        </w:rPr>
        <w:t xml:space="preserve">: 3,9%). </w:t>
      </w:r>
      <w:r w:rsidRPr="0088016F">
        <w:rPr>
          <w:rFonts w:eastAsia="SimSun" w:cs="Arial" w:hint="cs"/>
          <w:color w:val="003781"/>
          <w:sz w:val="20"/>
          <w:szCs w:val="20"/>
          <w:bdr w:val="none" w:sz="0" w:space="0" w:color="auto"/>
          <w:lang w:val="el-GR" w:eastAsia="de-DE"/>
        </w:rPr>
        <w:t>Ο</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τομέας</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αυτός</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θα</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εμφανίσει</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ισχυρούς</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ρυθμούς</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ανάπτυξης</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σχεδόν</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σε</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όλες</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τις</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αγορές</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καθώς</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η</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αυξανόμενη</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ανάγκη</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για</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προστασία</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αποτελεί</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παγκόσμιο</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φαινόμενο</w:t>
      </w:r>
      <w:r w:rsidRPr="0088016F">
        <w:rPr>
          <w:rFonts w:eastAsia="SimSun" w:cs="Arial"/>
          <w:color w:val="003781"/>
          <w:sz w:val="20"/>
          <w:szCs w:val="20"/>
          <w:bdr w:val="none" w:sz="0" w:space="0" w:color="auto"/>
          <w:lang w:val="el-GR" w:eastAsia="de-DE"/>
        </w:rPr>
        <w:t>. Η Allianz Research διατηρεί επίσης θετικές προσδοκίες για τον κλάδο ζωής, ο οποίος μπορεί να αναμένει ετήσια αύξηση 5,0%, χάρη στα υψηλότερα επιτόκια. Η Ασία και η Κίνα παραμένουν οι βασικοί μοχλοί ανάπτυξης, λόγω της αυξημένης ανάγκης για ιδιωτική πρόνοια, ενόψει της επιταχυνόμενης δημογραφικής γήρανσης (Ελλάδα: 3,9%). Ο μικρότερος τομέας, η ασφάλιση υγείας, αναμένεται να παραμείνει ο πιο δυναμικός, με ετήσια αύξηση 6,7% (Ελλάδα: 14,1%). Η Ασία ειδικότερα έχει ακόμη μεγάλο περιθώριο ανάπτυξης.</w:t>
      </w:r>
    </w:p>
    <w:p w14:paraId="26C88E4A"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SimSun" w:cs="Arial"/>
          <w:color w:val="003781"/>
          <w:sz w:val="20"/>
          <w:szCs w:val="20"/>
          <w:bdr w:val="none" w:sz="0" w:space="0" w:color="auto"/>
          <w:lang w:val="el-GR" w:eastAsia="de-DE"/>
        </w:rPr>
      </w:pPr>
      <w:r w:rsidRPr="0088016F">
        <w:rPr>
          <w:rFonts w:eastAsia="SimSun" w:cs="Arial"/>
          <w:color w:val="003781"/>
          <w:sz w:val="20"/>
          <w:szCs w:val="20"/>
          <w:bdr w:val="none" w:sz="0" w:space="0" w:color="auto"/>
          <w:lang w:val="el-GR" w:eastAsia="de-DE"/>
        </w:rPr>
        <w:t xml:space="preserve">Σε απόλυτους αριθμούς, </w:t>
      </w:r>
      <w:r w:rsidRPr="0088016F">
        <w:rPr>
          <w:rFonts w:eastAsia="SimSun" w:cs="Arial" w:hint="cs"/>
          <w:color w:val="003781"/>
          <w:sz w:val="20"/>
          <w:szCs w:val="20"/>
          <w:bdr w:val="none" w:sz="0" w:space="0" w:color="auto"/>
          <w:lang w:val="el-GR" w:eastAsia="de-DE"/>
        </w:rPr>
        <w:t>το</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παγκόσμιο</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χαρτοφυλάκιο</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ασφαλίστρων</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αναμένεται</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να</w:t>
      </w:r>
      <w:r w:rsidRPr="0088016F">
        <w:rPr>
          <w:rFonts w:eastAsia="SimSun" w:cs="Arial"/>
          <w:color w:val="003781"/>
          <w:sz w:val="20"/>
          <w:szCs w:val="20"/>
          <w:bdr w:val="none" w:sz="0" w:space="0" w:color="auto"/>
          <w:lang w:val="el-GR" w:eastAsia="de-DE"/>
        </w:rPr>
        <w:t xml:space="preserve"> </w:t>
      </w:r>
      <w:r w:rsidRPr="0088016F">
        <w:rPr>
          <w:rFonts w:eastAsia="SimSun" w:cs="Arial" w:hint="cs"/>
          <w:color w:val="003781"/>
          <w:sz w:val="20"/>
          <w:szCs w:val="20"/>
          <w:bdr w:val="none" w:sz="0" w:space="0" w:color="auto"/>
          <w:lang w:val="el-GR" w:eastAsia="de-DE"/>
        </w:rPr>
        <w:t>αυξηθε</w:t>
      </w:r>
      <w:r w:rsidRPr="0088016F">
        <w:rPr>
          <w:rFonts w:eastAsia="SimSun" w:cs="Arial"/>
          <w:color w:val="003781"/>
          <w:sz w:val="20"/>
          <w:szCs w:val="20"/>
          <w:bdr w:val="none" w:sz="0" w:space="0" w:color="auto"/>
          <w:lang w:val="el-GR" w:eastAsia="de-DE"/>
        </w:rPr>
        <w:t>ί κατά 5.319 δισ. ευρώ την επόμενη δεκαετία. Το μεγαλύτερο μέρος αυτής της αύξησης θα προέλθει από την ασφάλιση ζωής (2.055 δισ. ευρώ). Πάνω από το ήμισυ των επιπλέον ασφαλίστρων θα προέλθει από την Ασία και την Κίνα (1.071 δισ. ευρώ), περισσότερα από τη Βόρεια Αμερική (416 δισ. ευρώ) και τη Δυτική Ευρώπη (351 δισ. ευρώ) μαζί. Στον κλάδο των ασφαλίσεων περιουσίας και ατυχημάτων (</w:t>
      </w:r>
      <w:r w:rsidRPr="0088016F">
        <w:rPr>
          <w:rFonts w:eastAsia="SimSun" w:cs="Arial"/>
          <w:color w:val="003781"/>
          <w:sz w:val="20"/>
          <w:szCs w:val="20"/>
          <w:bdr w:val="none" w:sz="0" w:space="0" w:color="auto"/>
          <w:lang w:val="en-GB" w:eastAsia="de-DE"/>
        </w:rPr>
        <w:t>P</w:t>
      </w:r>
      <w:r w:rsidRPr="0088016F">
        <w:rPr>
          <w:rFonts w:eastAsia="SimSun" w:cs="Arial"/>
          <w:color w:val="003781"/>
          <w:sz w:val="20"/>
          <w:szCs w:val="20"/>
          <w:bdr w:val="none" w:sz="0" w:space="0" w:color="auto"/>
          <w:lang w:val="el-GR" w:eastAsia="de-DE"/>
        </w:rPr>
        <w:t>&amp;</w:t>
      </w:r>
      <w:r w:rsidRPr="0088016F">
        <w:rPr>
          <w:rFonts w:eastAsia="SimSun" w:cs="Arial"/>
          <w:color w:val="003781"/>
          <w:sz w:val="20"/>
          <w:szCs w:val="20"/>
          <w:bdr w:val="none" w:sz="0" w:space="0" w:color="auto"/>
          <w:lang w:val="en-GB" w:eastAsia="de-DE"/>
        </w:rPr>
        <w:t>C</w:t>
      </w:r>
      <w:r w:rsidRPr="0088016F">
        <w:rPr>
          <w:rFonts w:eastAsia="SimSun" w:cs="Arial"/>
          <w:color w:val="003781"/>
          <w:sz w:val="20"/>
          <w:szCs w:val="20"/>
          <w:bdr w:val="none" w:sz="0" w:space="0" w:color="auto"/>
          <w:lang w:val="el-GR" w:eastAsia="de-DE"/>
        </w:rPr>
        <w:t xml:space="preserve">), περίπου το 40% των επιπλέον ασφαλίστρων ύψους 1.522 δισ. ευρώ θα προέλθει από τη Βόρεια Αμερική. Στον κλάδο της υγείας, αναμένονται επιπλέον ασφάλιστρα 1.743 δισ. ευρώ, με το μεγαλύτερο μέρος να προέρχεται από την αγορά των ΗΠΑ. </w:t>
      </w:r>
      <w:r w:rsidRPr="0088016F">
        <w:rPr>
          <w:rFonts w:eastAsia="SimSun" w:cs="Arial"/>
          <w:i/>
          <w:iCs/>
          <w:color w:val="003781"/>
          <w:sz w:val="20"/>
          <w:szCs w:val="20"/>
          <w:bdr w:val="none" w:sz="0" w:space="0" w:color="auto"/>
          <w:lang w:val="el-GR" w:eastAsia="de-DE"/>
        </w:rPr>
        <w:t xml:space="preserve">«Η ασφάλιση </w:t>
      </w:r>
      <w:r w:rsidRPr="0088016F">
        <w:rPr>
          <w:rFonts w:eastAsia="SimSun" w:cs="Arial"/>
          <w:i/>
          <w:iCs/>
          <w:color w:val="003781"/>
          <w:sz w:val="20"/>
          <w:szCs w:val="20"/>
          <w:bdr w:val="none" w:sz="0" w:space="0" w:color="auto"/>
          <w:lang w:val="el-GR" w:eastAsia="de-DE"/>
        </w:rPr>
        <w:lastRenderedPageBreak/>
        <w:t>παραμένει ένας κλάδος με προοπτικές ανάπτυξης»,</w:t>
      </w:r>
      <w:r w:rsidRPr="0088016F">
        <w:rPr>
          <w:rFonts w:eastAsia="SimSun" w:cs="Arial"/>
          <w:color w:val="003781"/>
          <w:sz w:val="20"/>
          <w:szCs w:val="20"/>
          <w:bdr w:val="none" w:sz="0" w:space="0" w:color="auto"/>
          <w:lang w:val="el-GR" w:eastAsia="de-DE"/>
        </w:rPr>
        <w:t xml:space="preserve"> δήλωσε ο </w:t>
      </w:r>
      <w:r w:rsidRPr="0088016F">
        <w:rPr>
          <w:rFonts w:eastAsia="SimSun" w:cs="Arial"/>
          <w:b/>
          <w:bCs/>
          <w:color w:val="003781"/>
          <w:sz w:val="20"/>
          <w:szCs w:val="20"/>
          <w:bdr w:val="none" w:sz="0" w:space="0" w:color="auto"/>
          <w:lang w:val="el-GR" w:eastAsia="de-DE"/>
        </w:rPr>
        <w:t>Ludovic Subran, Chief Economist της Allianz.</w:t>
      </w:r>
      <w:r w:rsidRPr="0088016F">
        <w:rPr>
          <w:rFonts w:eastAsia="SimSun" w:cs="Arial"/>
          <w:color w:val="003781"/>
          <w:sz w:val="20"/>
          <w:szCs w:val="20"/>
          <w:bdr w:val="none" w:sz="0" w:space="0" w:color="auto"/>
          <w:lang w:val="el-GR" w:eastAsia="de-DE"/>
        </w:rPr>
        <w:t xml:space="preserve"> </w:t>
      </w:r>
      <w:r w:rsidRPr="0088016F">
        <w:rPr>
          <w:rFonts w:eastAsia="SimSun" w:cs="Arial"/>
          <w:i/>
          <w:iCs/>
          <w:color w:val="003781"/>
          <w:sz w:val="20"/>
          <w:szCs w:val="20"/>
          <w:bdr w:val="none" w:sz="0" w:space="0" w:color="auto"/>
          <w:lang w:val="el-GR" w:eastAsia="de-DE"/>
        </w:rPr>
        <w:t>«Ωστόσο, αυτή η ανάπτυξη τροφοδοτείται σε μεγάλο βαθμό από την απραξία σε επίπεδο πολιτικής: η υποεπένδυση στην προσαρμογή οδηγεί σε ολοένα και μεγαλύτερες ζημιές λόγω της κλιματικής αλλαγής, ενώ οι καθυστερημένες μεταρρυθμίσεις στα συνταξιοδοτικά συστήματα απαιτούν αυξημένες αποταμιεύσεις από τα άτομα. Μακροπρόθεσμα, όμως, ο ιδιωτικός ασφαλιστικός κλάδος δεν μπορεί να επωμιστεί μόνος του τον ρόλο του “συνεργείου” της κοινωνίας. Μόνο μέσω συνεργασίας μπορούμε να αντιμετωπίσουμε τις μεγάλες προκλήσεις</w:t>
      </w:r>
      <w:r w:rsidRPr="0088016F">
        <w:rPr>
          <w:rFonts w:eastAsia="SimSun" w:cs="Arial" w:hint="cs"/>
          <w:i/>
          <w:iCs/>
          <w:color w:val="003781"/>
          <w:sz w:val="20"/>
          <w:szCs w:val="20"/>
          <w:bdr w:val="none" w:sz="0" w:space="0" w:color="auto"/>
          <w:lang w:val="el-GR" w:eastAsia="de-DE"/>
        </w:rPr>
        <w:t xml:space="preserve"> </w:t>
      </w:r>
      <w:r w:rsidRPr="0088016F">
        <w:rPr>
          <w:rFonts w:eastAsia="SimSun" w:cs="Arial"/>
          <w:i/>
          <w:iCs/>
          <w:color w:val="003781"/>
          <w:sz w:val="20"/>
          <w:szCs w:val="20"/>
          <w:bdr w:val="none" w:sz="0" w:space="0" w:color="auto"/>
          <w:lang w:val="el-GR" w:eastAsia="de-DE"/>
        </w:rPr>
        <w:t>«</w:t>
      </w:r>
      <w:r w:rsidRPr="0088016F">
        <w:rPr>
          <w:rFonts w:eastAsia="SimSun" w:cs="Arial" w:hint="cs"/>
          <w:i/>
          <w:iCs/>
          <w:color w:val="003781"/>
          <w:sz w:val="20"/>
          <w:szCs w:val="20"/>
          <w:bdr w:val="none" w:sz="0" w:space="0" w:color="auto"/>
          <w:lang w:val="el-GR" w:eastAsia="de-DE"/>
        </w:rPr>
        <w:t>διπλής</w:t>
      </w:r>
      <w:r w:rsidRPr="0088016F">
        <w:rPr>
          <w:rFonts w:eastAsia="SimSun" w:cs="Arial"/>
          <w:i/>
          <w:iCs/>
          <w:color w:val="003781"/>
          <w:sz w:val="20"/>
          <w:szCs w:val="20"/>
          <w:bdr w:val="none" w:sz="0" w:space="0" w:color="auto"/>
          <w:lang w:val="el-GR" w:eastAsia="de-DE"/>
        </w:rPr>
        <w:t xml:space="preserve"> </w:t>
      </w:r>
      <w:r w:rsidRPr="0088016F">
        <w:rPr>
          <w:rFonts w:eastAsia="SimSun" w:cs="Arial" w:hint="cs"/>
          <w:i/>
          <w:iCs/>
          <w:color w:val="003781"/>
          <w:sz w:val="20"/>
          <w:szCs w:val="20"/>
          <w:bdr w:val="none" w:sz="0" w:space="0" w:color="auto"/>
          <w:lang w:val="el-GR" w:eastAsia="de-DE"/>
        </w:rPr>
        <w:t>μετάβασης</w:t>
      </w:r>
      <w:r w:rsidRPr="0088016F">
        <w:rPr>
          <w:rFonts w:eastAsia="SimSun" w:cs="Arial"/>
          <w:i/>
          <w:iCs/>
          <w:color w:val="003781"/>
          <w:sz w:val="20"/>
          <w:szCs w:val="20"/>
          <w:bdr w:val="none" w:sz="0" w:space="0" w:color="auto"/>
          <w:lang w:val="el-GR" w:eastAsia="de-DE"/>
        </w:rPr>
        <w:t>».</w:t>
      </w:r>
    </w:p>
    <w:p w14:paraId="770766E0"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cs="Arial"/>
          <w:color w:val="003781"/>
          <w:sz w:val="20"/>
          <w:szCs w:val="20"/>
          <w:bdr w:val="none" w:sz="0" w:space="0" w:color="auto"/>
          <w:lang w:val="el-GR" w:eastAsia="de-DE"/>
        </w:rPr>
      </w:pPr>
    </w:p>
    <w:p w14:paraId="72028FD7"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rPr>
          <w:rFonts w:eastAsia="Allianz Neo" w:cs="Arial"/>
          <w:color w:val="003781"/>
          <w:sz w:val="20"/>
          <w:szCs w:val="20"/>
          <w:bdr w:val="none" w:sz="0" w:space="0" w:color="auto"/>
          <w:lang w:val="el-GR"/>
        </w:rPr>
      </w:pPr>
    </w:p>
    <w:p w14:paraId="67551DAB"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20" w:lineRule="atLeast"/>
        <w:rPr>
          <w:rFonts w:eastAsia="Allianz Neo" w:cs="Arial"/>
          <w:b/>
          <w:bCs/>
          <w:color w:val="003781"/>
          <w:sz w:val="20"/>
          <w:szCs w:val="20"/>
          <w:bdr w:val="none" w:sz="0" w:space="0" w:color="auto"/>
          <w:lang w:val="en-GB"/>
        </w:rPr>
      </w:pPr>
      <w:r w:rsidRPr="0088016F">
        <w:rPr>
          <w:rFonts w:eastAsia="Allianz Neo" w:cs="Arial"/>
          <w:b/>
          <w:bCs/>
          <w:color w:val="003781"/>
          <w:sz w:val="20"/>
          <w:szCs w:val="20"/>
          <w:bdr w:val="none" w:sz="0" w:space="0" w:color="auto"/>
          <w:lang w:val="el-GR"/>
        </w:rPr>
        <w:t>Συνολικά Ασφάλιστρα</w:t>
      </w:r>
      <w:r w:rsidRPr="0088016F">
        <w:rPr>
          <w:rFonts w:eastAsia="Allianz Neo" w:cs="Arial"/>
          <w:b/>
          <w:bCs/>
          <w:color w:val="003781"/>
          <w:sz w:val="20"/>
          <w:szCs w:val="20"/>
          <w:bdr w:val="none" w:sz="0" w:space="0" w:color="auto"/>
          <w:lang w:val="en-GB"/>
        </w:rPr>
        <w:t>*</w:t>
      </w:r>
    </w:p>
    <w:p w14:paraId="47601EFC"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rPr>
          <w:rFonts w:eastAsia="Allianz Neo" w:cs="Arial"/>
          <w:b/>
          <w:bCs/>
          <w:color w:val="003781"/>
          <w:sz w:val="20"/>
          <w:szCs w:val="20"/>
          <w:bdr w:val="none" w:sz="0" w:space="0" w:color="auto"/>
        </w:rPr>
      </w:pPr>
    </w:p>
    <w:tbl>
      <w:tblPr>
        <w:tblStyle w:val="AZMeetingAgenda"/>
        <w:tblW w:w="0" w:type="auto"/>
        <w:tblLook w:val="04A0" w:firstRow="1" w:lastRow="0" w:firstColumn="1" w:lastColumn="0" w:noHBand="0" w:noVBand="1"/>
      </w:tblPr>
      <w:tblGrid>
        <w:gridCol w:w="1535"/>
        <w:gridCol w:w="166"/>
        <w:gridCol w:w="1535"/>
        <w:gridCol w:w="1701"/>
        <w:gridCol w:w="1701"/>
        <w:gridCol w:w="1701"/>
      </w:tblGrid>
      <w:tr w:rsidR="0088016F" w:rsidRPr="0088016F" w14:paraId="1FA2578A" w14:textId="77777777" w:rsidTr="004C6264">
        <w:trPr>
          <w:cnfStyle w:val="100000000000" w:firstRow="1" w:lastRow="0" w:firstColumn="0" w:lastColumn="0" w:oddVBand="0" w:evenVBand="0" w:oddHBand="0" w:evenHBand="0" w:firstRowFirstColumn="0" w:firstRowLastColumn="0" w:lastRowFirstColumn="0" w:lastRowLastColumn="0"/>
          <w:trHeight w:val="288"/>
        </w:trPr>
        <w:tc>
          <w:tcPr>
            <w:tcW w:w="1535" w:type="dxa"/>
          </w:tcPr>
          <w:p w14:paraId="4D9178AC"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eastAsia="Allianz Neo" w:cs="Arial"/>
                <w:bCs/>
                <w:color w:val="365F91"/>
                <w:szCs w:val="20"/>
                <w:bdr w:val="none" w:sz="0" w:space="0" w:color="auto"/>
                <w:lang w:val="en-US"/>
              </w:rPr>
            </w:pPr>
          </w:p>
        </w:tc>
        <w:tc>
          <w:tcPr>
            <w:tcW w:w="5103" w:type="dxa"/>
            <w:gridSpan w:val="4"/>
          </w:tcPr>
          <w:p w14:paraId="60CF3121"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bCs/>
                <w:color w:val="365F91"/>
                <w:szCs w:val="20"/>
                <w:bdr w:val="none" w:sz="0" w:space="0" w:color="auto"/>
                <w:lang w:val="en-US"/>
              </w:rPr>
            </w:pPr>
            <w:r w:rsidRPr="0088016F">
              <w:rPr>
                <w:rFonts w:eastAsia="Allianz Neo" w:cs="Arial"/>
                <w:color w:val="365F91"/>
                <w:szCs w:val="20"/>
                <w:bdr w:val="none" w:sz="0" w:space="0" w:color="auto"/>
                <w:lang w:val="en-US"/>
              </w:rPr>
              <w:t>EUR billion</w:t>
            </w:r>
          </w:p>
        </w:tc>
        <w:tc>
          <w:tcPr>
            <w:tcW w:w="1701" w:type="dxa"/>
          </w:tcPr>
          <w:p w14:paraId="079CA63E"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bCs/>
                <w:color w:val="365F91"/>
                <w:szCs w:val="20"/>
                <w:bdr w:val="none" w:sz="0" w:space="0" w:color="auto"/>
                <w:lang w:val="en-US"/>
              </w:rPr>
            </w:pPr>
            <w:r w:rsidRPr="0088016F">
              <w:rPr>
                <w:rFonts w:eastAsia="Allianz Neo" w:cs="Arial"/>
                <w:color w:val="365F91"/>
                <w:szCs w:val="20"/>
                <w:bdr w:val="none" w:sz="0" w:space="0" w:color="auto"/>
                <w:lang w:val="en-US"/>
              </w:rPr>
              <w:t>CAGR**</w:t>
            </w:r>
          </w:p>
        </w:tc>
      </w:tr>
      <w:tr w:rsidR="0088016F" w:rsidRPr="0088016F" w14:paraId="26E80C09" w14:textId="77777777" w:rsidTr="004C6264">
        <w:tblPrEx>
          <w:tblCellMar>
            <w:left w:w="108" w:type="dxa"/>
            <w:right w:w="108" w:type="dxa"/>
          </w:tblCellMar>
        </w:tblPrEx>
        <w:trPr>
          <w:trHeight w:val="288"/>
        </w:trPr>
        <w:tc>
          <w:tcPr>
            <w:tcW w:w="1701" w:type="dxa"/>
            <w:gridSpan w:val="2"/>
          </w:tcPr>
          <w:p w14:paraId="320519C2"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eastAsia="Allianz Neo" w:cs="Arial"/>
                <w:b/>
                <w:bCs/>
                <w:color w:val="365F91"/>
                <w:szCs w:val="20"/>
                <w:bdr w:val="none" w:sz="0" w:space="0" w:color="auto"/>
                <w:lang w:val="en-US"/>
              </w:rPr>
            </w:pPr>
          </w:p>
        </w:tc>
        <w:tc>
          <w:tcPr>
            <w:tcW w:w="1535" w:type="dxa"/>
          </w:tcPr>
          <w:p w14:paraId="08B9EC0A"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b/>
                <w:bCs/>
                <w:color w:val="365F91"/>
                <w:szCs w:val="20"/>
                <w:bdr w:val="none" w:sz="0" w:space="0" w:color="auto"/>
                <w:lang w:val="en-US"/>
              </w:rPr>
            </w:pPr>
            <w:r w:rsidRPr="0088016F">
              <w:rPr>
                <w:rFonts w:eastAsia="Allianz Neo" w:cs="Arial"/>
                <w:b/>
                <w:bCs/>
                <w:color w:val="365F91"/>
                <w:szCs w:val="20"/>
                <w:bdr w:val="none" w:sz="0" w:space="0" w:color="auto"/>
                <w:lang w:val="en-US"/>
              </w:rPr>
              <w:t>2023</w:t>
            </w:r>
          </w:p>
        </w:tc>
        <w:tc>
          <w:tcPr>
            <w:tcW w:w="1701" w:type="dxa"/>
          </w:tcPr>
          <w:p w14:paraId="5FA0F6D3"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b/>
                <w:bCs/>
                <w:color w:val="365F91"/>
                <w:szCs w:val="20"/>
                <w:bdr w:val="none" w:sz="0" w:space="0" w:color="auto"/>
                <w:lang w:val="en-US"/>
              </w:rPr>
            </w:pPr>
            <w:r w:rsidRPr="0088016F">
              <w:rPr>
                <w:rFonts w:eastAsia="Allianz Neo" w:cs="Arial"/>
                <w:b/>
                <w:bCs/>
                <w:color w:val="365F91"/>
                <w:szCs w:val="20"/>
                <w:bdr w:val="none" w:sz="0" w:space="0" w:color="auto"/>
                <w:lang w:val="en-US"/>
              </w:rPr>
              <w:t>2024</w:t>
            </w:r>
          </w:p>
        </w:tc>
        <w:tc>
          <w:tcPr>
            <w:tcW w:w="1701" w:type="dxa"/>
          </w:tcPr>
          <w:p w14:paraId="3D29E986"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b/>
                <w:bCs/>
                <w:color w:val="365F91"/>
                <w:szCs w:val="20"/>
                <w:bdr w:val="none" w:sz="0" w:space="0" w:color="auto"/>
                <w:lang w:val="en-US"/>
              </w:rPr>
            </w:pPr>
            <w:r w:rsidRPr="0088016F">
              <w:rPr>
                <w:rFonts w:eastAsia="Allianz Neo" w:cs="Arial"/>
                <w:b/>
                <w:bCs/>
                <w:color w:val="365F91"/>
                <w:szCs w:val="20"/>
                <w:bdr w:val="none" w:sz="0" w:space="0" w:color="auto"/>
                <w:lang w:val="en-US"/>
              </w:rPr>
              <w:t>2035</w:t>
            </w:r>
          </w:p>
        </w:tc>
        <w:tc>
          <w:tcPr>
            <w:tcW w:w="1701" w:type="dxa"/>
          </w:tcPr>
          <w:p w14:paraId="0BF0909A"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US"/>
              </w:rPr>
            </w:pPr>
            <w:r w:rsidRPr="0088016F">
              <w:rPr>
                <w:rFonts w:eastAsia="Allianz Neo" w:cs="Arial"/>
                <w:b/>
                <w:bCs/>
                <w:color w:val="365F91"/>
                <w:szCs w:val="20"/>
                <w:bdr w:val="none" w:sz="0" w:space="0" w:color="auto"/>
                <w:lang w:val="en-US"/>
              </w:rPr>
              <w:t>2025-35 (%)</w:t>
            </w:r>
          </w:p>
        </w:tc>
      </w:tr>
      <w:tr w:rsidR="0088016F" w:rsidRPr="0088016F" w14:paraId="324EFA51" w14:textId="77777777" w:rsidTr="004C6264">
        <w:tblPrEx>
          <w:tblCellMar>
            <w:left w:w="108" w:type="dxa"/>
            <w:right w:w="108" w:type="dxa"/>
          </w:tblCellMar>
        </w:tblPrEx>
        <w:trPr>
          <w:trHeight w:val="288"/>
        </w:trPr>
        <w:tc>
          <w:tcPr>
            <w:tcW w:w="1701" w:type="dxa"/>
            <w:gridSpan w:val="2"/>
          </w:tcPr>
          <w:p w14:paraId="2F226F91"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eastAsia="Allianz Neo" w:cs="Arial"/>
                <w:b/>
                <w:bCs/>
                <w:color w:val="365F91"/>
                <w:szCs w:val="20"/>
                <w:bdr w:val="none" w:sz="0" w:space="0" w:color="auto"/>
                <w:lang w:val="el-GR"/>
              </w:rPr>
            </w:pPr>
            <w:r w:rsidRPr="0088016F">
              <w:rPr>
                <w:rFonts w:eastAsia="Allianz Neo" w:cs="Arial"/>
                <w:bCs/>
                <w:color w:val="365F91"/>
                <w:szCs w:val="20"/>
                <w:bdr w:val="none" w:sz="0" w:space="0" w:color="auto"/>
                <w:lang w:val="el-GR"/>
              </w:rPr>
              <w:t>Δυτική Ευρώπη</w:t>
            </w:r>
          </w:p>
        </w:tc>
        <w:tc>
          <w:tcPr>
            <w:tcW w:w="1535" w:type="dxa"/>
          </w:tcPr>
          <w:p w14:paraId="571ECD4A"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US"/>
              </w:rPr>
            </w:pPr>
            <w:r w:rsidRPr="0088016F">
              <w:rPr>
                <w:rFonts w:eastAsia="Allianz Neo" w:cs="Arial"/>
                <w:color w:val="365F91"/>
                <w:szCs w:val="20"/>
                <w:bdr w:val="none" w:sz="0" w:space="0" w:color="auto"/>
                <w:lang w:val="en-US"/>
              </w:rPr>
              <w:t>1,460</w:t>
            </w:r>
          </w:p>
        </w:tc>
        <w:tc>
          <w:tcPr>
            <w:tcW w:w="1701" w:type="dxa"/>
          </w:tcPr>
          <w:p w14:paraId="53B671E3"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US"/>
              </w:rPr>
            </w:pPr>
            <w:r w:rsidRPr="0088016F">
              <w:rPr>
                <w:rFonts w:eastAsia="Allianz Neo" w:cs="Arial"/>
                <w:color w:val="365F91"/>
                <w:szCs w:val="20"/>
                <w:bdr w:val="none" w:sz="0" w:space="0" w:color="auto"/>
                <w:lang w:val="en-US"/>
              </w:rPr>
              <w:t>1,557</w:t>
            </w:r>
          </w:p>
        </w:tc>
        <w:tc>
          <w:tcPr>
            <w:tcW w:w="1701" w:type="dxa"/>
          </w:tcPr>
          <w:p w14:paraId="193C01C9"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GB"/>
              </w:rPr>
            </w:pPr>
            <w:r w:rsidRPr="0088016F">
              <w:rPr>
                <w:rFonts w:eastAsia="Allianz Neo" w:cs="Arial"/>
                <w:color w:val="365F91"/>
                <w:szCs w:val="20"/>
                <w:bdr w:val="none" w:sz="0" w:space="0" w:color="auto"/>
                <w:lang w:val="en-GB"/>
              </w:rPr>
              <w:t>2,318</w:t>
            </w:r>
          </w:p>
        </w:tc>
        <w:tc>
          <w:tcPr>
            <w:tcW w:w="1701" w:type="dxa"/>
          </w:tcPr>
          <w:p w14:paraId="2E1D3A36"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GB"/>
              </w:rPr>
            </w:pPr>
            <w:r w:rsidRPr="0088016F">
              <w:rPr>
                <w:rFonts w:eastAsia="Allianz Neo" w:cs="Arial"/>
                <w:color w:val="365F91"/>
                <w:szCs w:val="20"/>
                <w:bdr w:val="none" w:sz="0" w:space="0" w:color="auto"/>
                <w:lang w:val="en-GB"/>
              </w:rPr>
              <w:t>3.7</w:t>
            </w:r>
          </w:p>
        </w:tc>
      </w:tr>
      <w:tr w:rsidR="0088016F" w:rsidRPr="0088016F" w14:paraId="04CBAFC3" w14:textId="77777777" w:rsidTr="004C6264">
        <w:tblPrEx>
          <w:tblCellMar>
            <w:left w:w="108" w:type="dxa"/>
            <w:right w:w="108" w:type="dxa"/>
          </w:tblCellMar>
        </w:tblPrEx>
        <w:trPr>
          <w:trHeight w:val="288"/>
        </w:trPr>
        <w:tc>
          <w:tcPr>
            <w:tcW w:w="1701" w:type="dxa"/>
            <w:gridSpan w:val="2"/>
          </w:tcPr>
          <w:p w14:paraId="1AE5C0F5"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eastAsia="Allianz Neo" w:cs="Arial"/>
                <w:b/>
                <w:bCs/>
                <w:i/>
                <w:iCs/>
                <w:color w:val="365F91"/>
                <w:szCs w:val="20"/>
                <w:bdr w:val="none" w:sz="0" w:space="0" w:color="auto"/>
                <w:lang w:val="el-GR"/>
              </w:rPr>
            </w:pPr>
            <w:r w:rsidRPr="0088016F">
              <w:rPr>
                <w:rFonts w:eastAsia="Allianz Neo" w:cs="Arial"/>
                <w:bCs/>
                <w:color w:val="365F91"/>
                <w:szCs w:val="20"/>
                <w:bdr w:val="none" w:sz="0" w:space="0" w:color="auto"/>
                <w:lang w:val="el-GR"/>
              </w:rPr>
              <w:t>Ελλάδα</w:t>
            </w:r>
          </w:p>
        </w:tc>
        <w:tc>
          <w:tcPr>
            <w:tcW w:w="1535" w:type="dxa"/>
          </w:tcPr>
          <w:p w14:paraId="7B282E13"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i/>
                <w:iCs/>
                <w:color w:val="365F91"/>
                <w:szCs w:val="20"/>
                <w:bdr w:val="none" w:sz="0" w:space="0" w:color="auto"/>
                <w:lang w:val="en-GB"/>
              </w:rPr>
            </w:pPr>
            <w:r w:rsidRPr="0088016F">
              <w:rPr>
                <w:rFonts w:eastAsia="Allianz Neo" w:cs="Arial"/>
                <w:i/>
                <w:iCs/>
                <w:color w:val="365F91"/>
                <w:szCs w:val="20"/>
                <w:bdr w:val="none" w:sz="0" w:space="0" w:color="auto"/>
                <w:lang w:val="en-GB"/>
              </w:rPr>
              <w:t>5.3</w:t>
            </w:r>
          </w:p>
        </w:tc>
        <w:tc>
          <w:tcPr>
            <w:tcW w:w="1701" w:type="dxa"/>
          </w:tcPr>
          <w:p w14:paraId="4F7C7C26"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i/>
                <w:iCs/>
                <w:color w:val="365F91"/>
                <w:szCs w:val="20"/>
                <w:bdr w:val="none" w:sz="0" w:space="0" w:color="auto"/>
                <w:lang w:val="en-GB"/>
              </w:rPr>
            </w:pPr>
            <w:r w:rsidRPr="0088016F">
              <w:rPr>
                <w:rFonts w:eastAsia="Allianz Neo" w:cs="Arial"/>
                <w:i/>
                <w:iCs/>
                <w:color w:val="365F91"/>
                <w:szCs w:val="20"/>
                <w:bdr w:val="none" w:sz="0" w:space="0" w:color="auto"/>
                <w:lang w:val="en-GB"/>
              </w:rPr>
              <w:t>5.7</w:t>
            </w:r>
          </w:p>
        </w:tc>
        <w:tc>
          <w:tcPr>
            <w:tcW w:w="1701" w:type="dxa"/>
          </w:tcPr>
          <w:p w14:paraId="75B39159"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i/>
                <w:iCs/>
                <w:color w:val="365F91"/>
                <w:szCs w:val="20"/>
                <w:bdr w:val="none" w:sz="0" w:space="0" w:color="auto"/>
                <w:lang w:val="en-GB"/>
              </w:rPr>
            </w:pPr>
            <w:r w:rsidRPr="0088016F">
              <w:rPr>
                <w:rFonts w:eastAsia="Allianz Neo" w:cs="Arial"/>
                <w:i/>
                <w:iCs/>
                <w:color w:val="365F91"/>
                <w:szCs w:val="20"/>
                <w:bdr w:val="none" w:sz="0" w:space="0" w:color="auto"/>
                <w:lang w:val="en-GB"/>
              </w:rPr>
              <w:t>10.1</w:t>
            </w:r>
          </w:p>
        </w:tc>
        <w:tc>
          <w:tcPr>
            <w:tcW w:w="1701" w:type="dxa"/>
          </w:tcPr>
          <w:p w14:paraId="04DBF17B"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i/>
                <w:iCs/>
                <w:color w:val="365F91"/>
                <w:szCs w:val="20"/>
                <w:bdr w:val="none" w:sz="0" w:space="0" w:color="auto"/>
                <w:lang w:val="en-GB"/>
              </w:rPr>
            </w:pPr>
            <w:r w:rsidRPr="0088016F">
              <w:rPr>
                <w:rFonts w:eastAsia="Allianz Neo" w:cs="Arial"/>
                <w:i/>
                <w:iCs/>
                <w:color w:val="365F91"/>
                <w:szCs w:val="20"/>
                <w:bdr w:val="none" w:sz="0" w:space="0" w:color="auto"/>
                <w:lang w:val="en-GB"/>
              </w:rPr>
              <w:t>5.3</w:t>
            </w:r>
          </w:p>
        </w:tc>
      </w:tr>
      <w:tr w:rsidR="0088016F" w:rsidRPr="0088016F" w14:paraId="26FE545C" w14:textId="77777777" w:rsidTr="004C6264">
        <w:tblPrEx>
          <w:tblCellMar>
            <w:left w:w="108" w:type="dxa"/>
            <w:right w:w="108" w:type="dxa"/>
          </w:tblCellMar>
        </w:tblPrEx>
        <w:trPr>
          <w:trHeight w:val="288"/>
        </w:trPr>
        <w:tc>
          <w:tcPr>
            <w:tcW w:w="1701" w:type="dxa"/>
            <w:gridSpan w:val="2"/>
          </w:tcPr>
          <w:p w14:paraId="15228889"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eastAsia="Allianz Neo" w:cs="Arial"/>
                <w:b/>
                <w:bCs/>
                <w:color w:val="365F91"/>
                <w:szCs w:val="20"/>
                <w:bdr w:val="none" w:sz="0" w:space="0" w:color="auto"/>
                <w:lang w:val="el-GR"/>
              </w:rPr>
            </w:pPr>
            <w:r w:rsidRPr="0088016F">
              <w:rPr>
                <w:rFonts w:eastAsia="Allianz Neo" w:cs="Arial"/>
                <w:bCs/>
                <w:color w:val="365F91"/>
                <w:szCs w:val="20"/>
                <w:bdr w:val="none" w:sz="0" w:space="0" w:color="auto"/>
                <w:lang w:val="el-GR"/>
              </w:rPr>
              <w:t>Βόρεια Αμερική</w:t>
            </w:r>
          </w:p>
        </w:tc>
        <w:tc>
          <w:tcPr>
            <w:tcW w:w="1535" w:type="dxa"/>
          </w:tcPr>
          <w:p w14:paraId="68DCA830"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GB"/>
              </w:rPr>
            </w:pPr>
            <w:r w:rsidRPr="0088016F">
              <w:rPr>
                <w:rFonts w:eastAsia="Allianz Neo" w:cs="Arial"/>
                <w:color w:val="365F91"/>
                <w:szCs w:val="20"/>
                <w:bdr w:val="none" w:sz="0" w:space="0" w:color="auto"/>
                <w:lang w:val="en-GB"/>
              </w:rPr>
              <w:t>3,072</w:t>
            </w:r>
          </w:p>
        </w:tc>
        <w:tc>
          <w:tcPr>
            <w:tcW w:w="1701" w:type="dxa"/>
          </w:tcPr>
          <w:p w14:paraId="742D3105"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GB"/>
              </w:rPr>
            </w:pPr>
            <w:r w:rsidRPr="0088016F">
              <w:rPr>
                <w:rFonts w:eastAsia="Allianz Neo" w:cs="Arial"/>
                <w:color w:val="365F91"/>
                <w:szCs w:val="20"/>
                <w:bdr w:val="none" w:sz="0" w:space="0" w:color="auto"/>
                <w:lang w:val="en-GB"/>
              </w:rPr>
              <w:t>3,357</w:t>
            </w:r>
          </w:p>
        </w:tc>
        <w:tc>
          <w:tcPr>
            <w:tcW w:w="1701" w:type="dxa"/>
          </w:tcPr>
          <w:p w14:paraId="04BE8920"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GB"/>
              </w:rPr>
            </w:pPr>
            <w:r w:rsidRPr="0088016F">
              <w:rPr>
                <w:rFonts w:eastAsia="Allianz Neo" w:cs="Arial"/>
                <w:color w:val="365F91"/>
                <w:szCs w:val="20"/>
                <w:bdr w:val="none" w:sz="0" w:space="0" w:color="auto"/>
                <w:lang w:val="en-GB"/>
              </w:rPr>
              <w:t>5,581</w:t>
            </w:r>
          </w:p>
        </w:tc>
        <w:tc>
          <w:tcPr>
            <w:tcW w:w="1701" w:type="dxa"/>
          </w:tcPr>
          <w:p w14:paraId="1C9F514A"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GB"/>
              </w:rPr>
            </w:pPr>
            <w:r w:rsidRPr="0088016F">
              <w:rPr>
                <w:rFonts w:eastAsia="Allianz Neo" w:cs="Arial"/>
                <w:color w:val="365F91"/>
                <w:szCs w:val="20"/>
                <w:bdr w:val="none" w:sz="0" w:space="0" w:color="auto"/>
                <w:lang w:val="en-GB"/>
              </w:rPr>
              <w:t>4.7</w:t>
            </w:r>
          </w:p>
        </w:tc>
      </w:tr>
      <w:tr w:rsidR="0088016F" w:rsidRPr="0088016F" w14:paraId="1912160C" w14:textId="77777777" w:rsidTr="004C6264">
        <w:tblPrEx>
          <w:tblCellMar>
            <w:left w:w="108" w:type="dxa"/>
            <w:right w:w="108" w:type="dxa"/>
          </w:tblCellMar>
        </w:tblPrEx>
        <w:trPr>
          <w:trHeight w:val="288"/>
        </w:trPr>
        <w:tc>
          <w:tcPr>
            <w:tcW w:w="1701" w:type="dxa"/>
            <w:gridSpan w:val="2"/>
          </w:tcPr>
          <w:p w14:paraId="05F7040C"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eastAsia="Allianz Neo" w:cs="Arial"/>
                <w:b/>
                <w:bCs/>
                <w:i/>
                <w:iCs/>
                <w:color w:val="365F91"/>
                <w:szCs w:val="20"/>
                <w:bdr w:val="none" w:sz="0" w:space="0" w:color="auto"/>
                <w:lang w:val="el-GR"/>
              </w:rPr>
            </w:pPr>
            <w:r w:rsidRPr="0088016F">
              <w:rPr>
                <w:rFonts w:eastAsia="Allianz Neo" w:cs="Arial"/>
                <w:bCs/>
                <w:color w:val="365F91"/>
                <w:szCs w:val="20"/>
                <w:bdr w:val="none" w:sz="0" w:space="0" w:color="auto"/>
                <w:lang w:val="el-GR"/>
              </w:rPr>
              <w:t>Ιαπωνία</w:t>
            </w:r>
          </w:p>
        </w:tc>
        <w:tc>
          <w:tcPr>
            <w:tcW w:w="1535" w:type="dxa"/>
          </w:tcPr>
          <w:p w14:paraId="706303CB"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i/>
                <w:iCs/>
                <w:color w:val="365F91"/>
                <w:szCs w:val="20"/>
                <w:bdr w:val="none" w:sz="0" w:space="0" w:color="auto"/>
                <w:lang w:val="en-GB"/>
              </w:rPr>
            </w:pPr>
            <w:r w:rsidRPr="0088016F">
              <w:rPr>
                <w:rFonts w:eastAsia="Allianz Neo" w:cs="Arial"/>
                <w:i/>
                <w:iCs/>
                <w:color w:val="365F91"/>
                <w:szCs w:val="20"/>
                <w:bdr w:val="none" w:sz="0" w:space="0" w:color="auto"/>
                <w:lang w:val="en-GB"/>
              </w:rPr>
              <w:t>296</w:t>
            </w:r>
          </w:p>
        </w:tc>
        <w:tc>
          <w:tcPr>
            <w:tcW w:w="1701" w:type="dxa"/>
          </w:tcPr>
          <w:p w14:paraId="21956EDF"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i/>
                <w:iCs/>
                <w:color w:val="365F91"/>
                <w:szCs w:val="20"/>
                <w:bdr w:val="none" w:sz="0" w:space="0" w:color="auto"/>
                <w:lang w:val="en-GB"/>
              </w:rPr>
            </w:pPr>
            <w:r w:rsidRPr="0088016F">
              <w:rPr>
                <w:rFonts w:eastAsia="Allianz Neo" w:cs="Arial"/>
                <w:i/>
                <w:iCs/>
                <w:color w:val="365F91"/>
                <w:szCs w:val="20"/>
                <w:bdr w:val="none" w:sz="0" w:space="0" w:color="auto"/>
                <w:lang w:val="en-GB"/>
              </w:rPr>
              <w:t>303</w:t>
            </w:r>
          </w:p>
        </w:tc>
        <w:tc>
          <w:tcPr>
            <w:tcW w:w="1701" w:type="dxa"/>
          </w:tcPr>
          <w:p w14:paraId="7CCB18AE"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i/>
                <w:iCs/>
                <w:color w:val="365F91"/>
                <w:szCs w:val="20"/>
                <w:bdr w:val="none" w:sz="0" w:space="0" w:color="auto"/>
                <w:lang w:val="en-GB"/>
              </w:rPr>
            </w:pPr>
            <w:r w:rsidRPr="0088016F">
              <w:rPr>
                <w:rFonts w:eastAsia="Allianz Neo" w:cs="Arial"/>
                <w:i/>
                <w:iCs/>
                <w:color w:val="365F91"/>
                <w:szCs w:val="20"/>
                <w:bdr w:val="none" w:sz="0" w:space="0" w:color="auto"/>
                <w:lang w:val="en-GB"/>
              </w:rPr>
              <w:t>396</w:t>
            </w:r>
          </w:p>
        </w:tc>
        <w:tc>
          <w:tcPr>
            <w:tcW w:w="1701" w:type="dxa"/>
          </w:tcPr>
          <w:p w14:paraId="167EC9D8"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i/>
                <w:iCs/>
                <w:color w:val="365F91"/>
                <w:szCs w:val="20"/>
                <w:bdr w:val="none" w:sz="0" w:space="0" w:color="auto"/>
                <w:lang w:val="en-GB"/>
              </w:rPr>
            </w:pPr>
            <w:r w:rsidRPr="0088016F">
              <w:rPr>
                <w:rFonts w:eastAsia="Allianz Neo" w:cs="Arial"/>
                <w:i/>
                <w:iCs/>
                <w:color w:val="365F91"/>
                <w:szCs w:val="20"/>
                <w:bdr w:val="none" w:sz="0" w:space="0" w:color="auto"/>
                <w:lang w:val="en-GB"/>
              </w:rPr>
              <w:t>2.5</w:t>
            </w:r>
          </w:p>
        </w:tc>
      </w:tr>
      <w:tr w:rsidR="0088016F" w:rsidRPr="0088016F" w14:paraId="4FFCE406" w14:textId="77777777" w:rsidTr="004C6264">
        <w:tblPrEx>
          <w:tblCellMar>
            <w:left w:w="108" w:type="dxa"/>
            <w:right w:w="108" w:type="dxa"/>
          </w:tblCellMar>
        </w:tblPrEx>
        <w:trPr>
          <w:trHeight w:val="288"/>
        </w:trPr>
        <w:tc>
          <w:tcPr>
            <w:tcW w:w="1701" w:type="dxa"/>
            <w:gridSpan w:val="2"/>
          </w:tcPr>
          <w:p w14:paraId="65E49523"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eastAsia="Allianz Neo" w:cs="Arial"/>
                <w:b/>
                <w:bCs/>
                <w:color w:val="365F91"/>
                <w:szCs w:val="20"/>
                <w:bdr w:val="none" w:sz="0" w:space="0" w:color="auto"/>
                <w:lang w:val="el-GR"/>
              </w:rPr>
            </w:pPr>
            <w:r w:rsidRPr="0088016F">
              <w:rPr>
                <w:rFonts w:eastAsia="Allianz Neo" w:cs="Arial"/>
                <w:bCs/>
                <w:color w:val="365F91"/>
                <w:szCs w:val="20"/>
                <w:bdr w:val="none" w:sz="0" w:space="0" w:color="auto"/>
                <w:lang w:val="el-GR"/>
              </w:rPr>
              <w:t>Ασία (χωρίς την Ιαπωνία)</w:t>
            </w:r>
          </w:p>
        </w:tc>
        <w:tc>
          <w:tcPr>
            <w:tcW w:w="1535" w:type="dxa"/>
          </w:tcPr>
          <w:p w14:paraId="0D3A4432"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GB"/>
              </w:rPr>
            </w:pPr>
            <w:r w:rsidRPr="0088016F">
              <w:rPr>
                <w:rFonts w:eastAsia="Allianz Neo" w:cs="Arial"/>
                <w:color w:val="365F91"/>
                <w:szCs w:val="20"/>
                <w:bdr w:val="none" w:sz="0" w:space="0" w:color="auto"/>
                <w:lang w:val="en-GB"/>
              </w:rPr>
              <w:t>1,283</w:t>
            </w:r>
          </w:p>
        </w:tc>
        <w:tc>
          <w:tcPr>
            <w:tcW w:w="1701" w:type="dxa"/>
          </w:tcPr>
          <w:p w14:paraId="0F56FBE6"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GB"/>
              </w:rPr>
            </w:pPr>
            <w:r w:rsidRPr="0088016F">
              <w:rPr>
                <w:rFonts w:eastAsia="Allianz Neo" w:cs="Arial"/>
                <w:color w:val="365F91"/>
                <w:szCs w:val="20"/>
                <w:bdr w:val="none" w:sz="0" w:space="0" w:color="auto"/>
                <w:lang w:val="en-GB"/>
              </w:rPr>
              <w:t>1,402</w:t>
            </w:r>
          </w:p>
        </w:tc>
        <w:tc>
          <w:tcPr>
            <w:tcW w:w="1701" w:type="dxa"/>
          </w:tcPr>
          <w:p w14:paraId="170A4FD8"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GB"/>
              </w:rPr>
            </w:pPr>
            <w:r w:rsidRPr="0088016F">
              <w:rPr>
                <w:rFonts w:eastAsia="Allianz Neo" w:cs="Arial"/>
                <w:color w:val="365F91"/>
                <w:szCs w:val="20"/>
                <w:bdr w:val="none" w:sz="0" w:space="0" w:color="auto"/>
                <w:lang w:val="en-GB"/>
              </w:rPr>
              <w:t>3,100</w:t>
            </w:r>
          </w:p>
        </w:tc>
        <w:tc>
          <w:tcPr>
            <w:tcW w:w="1701" w:type="dxa"/>
          </w:tcPr>
          <w:p w14:paraId="01A5C82C"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GB"/>
              </w:rPr>
            </w:pPr>
            <w:r w:rsidRPr="0088016F">
              <w:rPr>
                <w:rFonts w:eastAsia="Allianz Neo" w:cs="Arial"/>
                <w:color w:val="365F91"/>
                <w:szCs w:val="20"/>
                <w:bdr w:val="none" w:sz="0" w:space="0" w:color="auto"/>
                <w:lang w:val="en-GB"/>
              </w:rPr>
              <w:t>7.5</w:t>
            </w:r>
          </w:p>
        </w:tc>
      </w:tr>
      <w:tr w:rsidR="0088016F" w:rsidRPr="0088016F" w14:paraId="7112C668" w14:textId="77777777" w:rsidTr="004C6264">
        <w:tblPrEx>
          <w:tblCellMar>
            <w:left w:w="108" w:type="dxa"/>
            <w:right w:w="108" w:type="dxa"/>
          </w:tblCellMar>
        </w:tblPrEx>
        <w:trPr>
          <w:trHeight w:val="288"/>
        </w:trPr>
        <w:tc>
          <w:tcPr>
            <w:tcW w:w="1701" w:type="dxa"/>
            <w:gridSpan w:val="2"/>
          </w:tcPr>
          <w:p w14:paraId="33C4A22F"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eastAsia="Allianz Neo" w:cs="Arial"/>
                <w:b/>
                <w:bCs/>
                <w:i/>
                <w:color w:val="365F91"/>
                <w:szCs w:val="20"/>
                <w:bdr w:val="none" w:sz="0" w:space="0" w:color="auto"/>
                <w:lang w:val="el-GR"/>
              </w:rPr>
            </w:pPr>
            <w:r w:rsidRPr="0088016F">
              <w:rPr>
                <w:rFonts w:eastAsia="Allianz Neo" w:cs="Arial"/>
                <w:bCs/>
                <w:color w:val="365F91"/>
                <w:szCs w:val="20"/>
                <w:bdr w:val="none" w:sz="0" w:space="0" w:color="auto"/>
                <w:lang w:val="el-GR"/>
              </w:rPr>
              <w:t>Κίνα</w:t>
            </w:r>
          </w:p>
        </w:tc>
        <w:tc>
          <w:tcPr>
            <w:tcW w:w="1535" w:type="dxa"/>
          </w:tcPr>
          <w:p w14:paraId="198EA883"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i/>
                <w:color w:val="365F91"/>
                <w:szCs w:val="20"/>
                <w:bdr w:val="none" w:sz="0" w:space="0" w:color="auto"/>
                <w:lang w:val="en-GB"/>
              </w:rPr>
            </w:pPr>
            <w:r w:rsidRPr="0088016F">
              <w:rPr>
                <w:rFonts w:eastAsia="Allianz Neo" w:cs="Arial"/>
                <w:i/>
                <w:color w:val="365F91"/>
                <w:szCs w:val="20"/>
                <w:bdr w:val="none" w:sz="0" w:space="0" w:color="auto"/>
                <w:lang w:val="en-GB"/>
              </w:rPr>
              <w:t>678</w:t>
            </w:r>
          </w:p>
        </w:tc>
        <w:tc>
          <w:tcPr>
            <w:tcW w:w="1701" w:type="dxa"/>
          </w:tcPr>
          <w:p w14:paraId="10E36F5A"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i/>
                <w:color w:val="365F91"/>
                <w:szCs w:val="20"/>
                <w:bdr w:val="none" w:sz="0" w:space="0" w:color="auto"/>
                <w:lang w:val="en-GB"/>
              </w:rPr>
            </w:pPr>
            <w:r w:rsidRPr="0088016F">
              <w:rPr>
                <w:rFonts w:eastAsia="Allianz Neo" w:cs="Arial"/>
                <w:i/>
                <w:color w:val="365F91"/>
                <w:szCs w:val="20"/>
                <w:bdr w:val="none" w:sz="0" w:space="0" w:color="auto"/>
                <w:lang w:val="en-GB"/>
              </w:rPr>
              <w:t>754</w:t>
            </w:r>
          </w:p>
        </w:tc>
        <w:tc>
          <w:tcPr>
            <w:tcW w:w="1701" w:type="dxa"/>
          </w:tcPr>
          <w:p w14:paraId="0033874C"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i/>
                <w:color w:val="365F91"/>
                <w:szCs w:val="20"/>
                <w:bdr w:val="none" w:sz="0" w:space="0" w:color="auto"/>
                <w:lang w:val="en-GB"/>
              </w:rPr>
            </w:pPr>
            <w:r w:rsidRPr="0088016F">
              <w:rPr>
                <w:rFonts w:eastAsia="Allianz Neo" w:cs="Arial"/>
                <w:i/>
                <w:color w:val="365F91"/>
                <w:szCs w:val="20"/>
                <w:bdr w:val="none" w:sz="0" w:space="0" w:color="auto"/>
                <w:lang w:val="en-GB"/>
              </w:rPr>
              <w:t>1,667</w:t>
            </w:r>
          </w:p>
        </w:tc>
        <w:tc>
          <w:tcPr>
            <w:tcW w:w="1701" w:type="dxa"/>
          </w:tcPr>
          <w:p w14:paraId="53DA198B"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i/>
                <w:color w:val="365F91"/>
                <w:szCs w:val="20"/>
                <w:bdr w:val="none" w:sz="0" w:space="0" w:color="auto"/>
                <w:lang w:val="en-GB"/>
              </w:rPr>
            </w:pPr>
            <w:r w:rsidRPr="0088016F">
              <w:rPr>
                <w:rFonts w:eastAsia="Allianz Neo" w:cs="Arial"/>
                <w:i/>
                <w:color w:val="365F91"/>
                <w:szCs w:val="20"/>
                <w:bdr w:val="none" w:sz="0" w:space="0" w:color="auto"/>
                <w:lang w:val="en-GB"/>
              </w:rPr>
              <w:t>7.5</w:t>
            </w:r>
          </w:p>
        </w:tc>
      </w:tr>
      <w:tr w:rsidR="0088016F" w:rsidRPr="0088016F" w14:paraId="0603D755" w14:textId="77777777" w:rsidTr="004C6264">
        <w:tblPrEx>
          <w:tblCellMar>
            <w:left w:w="108" w:type="dxa"/>
            <w:right w:w="108" w:type="dxa"/>
          </w:tblCellMar>
        </w:tblPrEx>
        <w:trPr>
          <w:trHeight w:val="288"/>
        </w:trPr>
        <w:tc>
          <w:tcPr>
            <w:tcW w:w="1701" w:type="dxa"/>
            <w:gridSpan w:val="2"/>
          </w:tcPr>
          <w:p w14:paraId="785274FF"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eastAsia="Allianz Neo" w:cs="Arial"/>
                <w:b/>
                <w:bCs/>
                <w:color w:val="365F91"/>
                <w:szCs w:val="20"/>
                <w:bdr w:val="none" w:sz="0" w:space="0" w:color="auto"/>
                <w:lang w:val="el-GR"/>
              </w:rPr>
            </w:pPr>
            <w:r w:rsidRPr="0088016F">
              <w:rPr>
                <w:rFonts w:eastAsia="Allianz Neo" w:cs="Arial"/>
                <w:bCs/>
                <w:color w:val="365F91"/>
                <w:szCs w:val="20"/>
                <w:bdr w:val="none" w:sz="0" w:space="0" w:color="auto"/>
                <w:lang w:val="el-GR"/>
              </w:rPr>
              <w:t>Οι υπόλοιπες χώρες</w:t>
            </w:r>
          </w:p>
        </w:tc>
        <w:tc>
          <w:tcPr>
            <w:tcW w:w="1535" w:type="dxa"/>
          </w:tcPr>
          <w:p w14:paraId="0E5F462A"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GB"/>
              </w:rPr>
            </w:pPr>
            <w:r w:rsidRPr="0088016F">
              <w:rPr>
                <w:rFonts w:eastAsia="Allianz Neo" w:cs="Arial"/>
                <w:color w:val="365F91"/>
                <w:szCs w:val="20"/>
                <w:bdr w:val="none" w:sz="0" w:space="0" w:color="auto"/>
                <w:lang w:val="en-GB"/>
              </w:rPr>
              <w:t>340</w:t>
            </w:r>
          </w:p>
        </w:tc>
        <w:tc>
          <w:tcPr>
            <w:tcW w:w="1701" w:type="dxa"/>
          </w:tcPr>
          <w:p w14:paraId="78135F8B"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GB"/>
              </w:rPr>
            </w:pPr>
            <w:r w:rsidRPr="0088016F">
              <w:rPr>
                <w:rFonts w:eastAsia="Allianz Neo" w:cs="Arial"/>
                <w:color w:val="365F91"/>
                <w:szCs w:val="20"/>
                <w:bdr w:val="none" w:sz="0" w:space="0" w:color="auto"/>
                <w:lang w:val="en-GB"/>
              </w:rPr>
              <w:t>389</w:t>
            </w:r>
          </w:p>
        </w:tc>
        <w:tc>
          <w:tcPr>
            <w:tcW w:w="1701" w:type="dxa"/>
          </w:tcPr>
          <w:p w14:paraId="1A4550BC"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GB"/>
              </w:rPr>
            </w:pPr>
            <w:r w:rsidRPr="0088016F">
              <w:rPr>
                <w:rFonts w:eastAsia="Allianz Neo" w:cs="Arial"/>
                <w:color w:val="365F91"/>
                <w:szCs w:val="20"/>
                <w:bdr w:val="none" w:sz="0" w:space="0" w:color="auto"/>
                <w:lang w:val="en-GB"/>
              </w:rPr>
              <w:t>932</w:t>
            </w:r>
          </w:p>
        </w:tc>
        <w:tc>
          <w:tcPr>
            <w:tcW w:w="1701" w:type="dxa"/>
          </w:tcPr>
          <w:p w14:paraId="7036EBE0"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color w:val="365F91"/>
                <w:szCs w:val="20"/>
                <w:bdr w:val="none" w:sz="0" w:space="0" w:color="auto"/>
                <w:lang w:val="en-GB"/>
              </w:rPr>
            </w:pPr>
            <w:r w:rsidRPr="0088016F">
              <w:rPr>
                <w:rFonts w:eastAsia="Allianz Neo" w:cs="Arial"/>
                <w:color w:val="365F91"/>
                <w:szCs w:val="20"/>
                <w:bdr w:val="none" w:sz="0" w:space="0" w:color="auto"/>
                <w:lang w:val="en-GB"/>
              </w:rPr>
              <w:t>8.3</w:t>
            </w:r>
          </w:p>
        </w:tc>
      </w:tr>
      <w:tr w:rsidR="0088016F" w:rsidRPr="0088016F" w14:paraId="6D0D5875" w14:textId="77777777" w:rsidTr="004C6264">
        <w:tblPrEx>
          <w:tblCellMar>
            <w:left w:w="108" w:type="dxa"/>
            <w:right w:w="108" w:type="dxa"/>
          </w:tblCellMar>
        </w:tblPrEx>
        <w:trPr>
          <w:trHeight w:val="432"/>
        </w:trPr>
        <w:tc>
          <w:tcPr>
            <w:tcW w:w="1701" w:type="dxa"/>
            <w:gridSpan w:val="2"/>
          </w:tcPr>
          <w:p w14:paraId="5C687B2B"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eastAsia="Allianz Neo" w:cs="Arial"/>
                <w:b/>
                <w:bCs/>
                <w:color w:val="365F91"/>
                <w:szCs w:val="20"/>
                <w:bdr w:val="none" w:sz="0" w:space="0" w:color="auto"/>
                <w:lang w:val="el-GR"/>
              </w:rPr>
            </w:pPr>
            <w:r w:rsidRPr="0088016F">
              <w:rPr>
                <w:rFonts w:eastAsia="Allianz Neo" w:cs="Arial"/>
                <w:b/>
                <w:color w:val="365F91"/>
                <w:szCs w:val="20"/>
                <w:bdr w:val="none" w:sz="0" w:space="0" w:color="auto"/>
                <w:lang w:val="el-GR"/>
              </w:rPr>
              <w:t>Παγκοσμίως</w:t>
            </w:r>
          </w:p>
        </w:tc>
        <w:tc>
          <w:tcPr>
            <w:tcW w:w="1535" w:type="dxa"/>
          </w:tcPr>
          <w:p w14:paraId="2F4A0FAB"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b/>
                <w:color w:val="365F91"/>
                <w:szCs w:val="20"/>
                <w:bdr w:val="none" w:sz="0" w:space="0" w:color="auto"/>
                <w:lang w:val="en-GB"/>
              </w:rPr>
            </w:pPr>
            <w:r w:rsidRPr="0088016F">
              <w:rPr>
                <w:rFonts w:eastAsia="Allianz Neo" w:cs="Arial"/>
                <w:b/>
                <w:color w:val="365F91"/>
                <w:szCs w:val="20"/>
                <w:bdr w:val="none" w:sz="0" w:space="0" w:color="auto"/>
                <w:lang w:val="en-GB"/>
              </w:rPr>
              <w:t>6,451</w:t>
            </w:r>
          </w:p>
        </w:tc>
        <w:tc>
          <w:tcPr>
            <w:tcW w:w="1701" w:type="dxa"/>
          </w:tcPr>
          <w:p w14:paraId="4747CDF1"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b/>
                <w:color w:val="365F91"/>
                <w:szCs w:val="20"/>
                <w:bdr w:val="none" w:sz="0" w:space="0" w:color="auto"/>
                <w:lang w:val="en-GB"/>
              </w:rPr>
            </w:pPr>
            <w:r w:rsidRPr="0088016F">
              <w:rPr>
                <w:rFonts w:eastAsia="Allianz Neo" w:cs="Arial"/>
                <w:b/>
                <w:color w:val="365F91"/>
                <w:szCs w:val="20"/>
                <w:bdr w:val="none" w:sz="0" w:space="0" w:color="auto"/>
                <w:lang w:val="en-GB"/>
              </w:rPr>
              <w:t>7,008</w:t>
            </w:r>
          </w:p>
        </w:tc>
        <w:tc>
          <w:tcPr>
            <w:tcW w:w="1701" w:type="dxa"/>
          </w:tcPr>
          <w:p w14:paraId="28B46095"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b/>
                <w:color w:val="365F91"/>
                <w:szCs w:val="20"/>
                <w:bdr w:val="none" w:sz="0" w:space="0" w:color="auto"/>
                <w:lang w:val="en-GB"/>
              </w:rPr>
            </w:pPr>
            <w:r w:rsidRPr="0088016F">
              <w:rPr>
                <w:rFonts w:eastAsia="Allianz Neo" w:cs="Arial"/>
                <w:b/>
                <w:color w:val="365F91"/>
                <w:szCs w:val="20"/>
                <w:bdr w:val="none" w:sz="0" w:space="0" w:color="auto"/>
                <w:lang w:val="en-GB"/>
              </w:rPr>
              <w:t>12,327</w:t>
            </w:r>
          </w:p>
        </w:tc>
        <w:tc>
          <w:tcPr>
            <w:tcW w:w="1701" w:type="dxa"/>
          </w:tcPr>
          <w:p w14:paraId="2AE9F94A"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eastAsia="Allianz Neo" w:cs="Arial"/>
                <w:b/>
                <w:color w:val="365F91"/>
                <w:szCs w:val="20"/>
                <w:bdr w:val="none" w:sz="0" w:space="0" w:color="auto"/>
                <w:lang w:val="en-GB"/>
              </w:rPr>
            </w:pPr>
            <w:r w:rsidRPr="0088016F">
              <w:rPr>
                <w:rFonts w:eastAsia="Allianz Neo" w:cs="Arial"/>
                <w:b/>
                <w:color w:val="365F91"/>
                <w:szCs w:val="20"/>
                <w:bdr w:val="none" w:sz="0" w:space="0" w:color="auto"/>
                <w:lang w:val="en-GB"/>
              </w:rPr>
              <w:t>5.3</w:t>
            </w:r>
          </w:p>
        </w:tc>
      </w:tr>
    </w:tbl>
    <w:p w14:paraId="340772C5"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ind w:right="700"/>
        <w:rPr>
          <w:rFonts w:eastAsia="Allianz Neo" w:cs="Arial"/>
          <w:color w:val="44546A"/>
          <w:sz w:val="16"/>
          <w:szCs w:val="16"/>
          <w:bdr w:val="none" w:sz="0" w:space="0" w:color="auto"/>
          <w:lang w:val="el-GR"/>
        </w:rPr>
      </w:pPr>
      <w:r w:rsidRPr="0088016F">
        <w:rPr>
          <w:rFonts w:eastAsia="Allianz Neo" w:cs="Arial"/>
          <w:color w:val="44546A"/>
          <w:sz w:val="16"/>
          <w:szCs w:val="16"/>
          <w:bdr w:val="none" w:sz="0" w:space="0" w:color="auto"/>
          <w:lang w:val="el-GR"/>
        </w:rPr>
        <w:t>*</w:t>
      </w:r>
      <w:r w:rsidRPr="0088016F">
        <w:rPr>
          <w:rFonts w:eastAsia="Allianz Neo" w:cs="Arial"/>
          <w:color w:val="auto"/>
          <w:sz w:val="20"/>
          <w:szCs w:val="18"/>
          <w:bdr w:val="none" w:sz="0" w:space="0" w:color="auto"/>
          <w:lang w:val="el-GR"/>
        </w:rPr>
        <w:t xml:space="preserve"> </w:t>
      </w:r>
      <w:r w:rsidRPr="0088016F">
        <w:rPr>
          <w:rFonts w:eastAsia="Allianz Neo" w:cs="Arial"/>
          <w:color w:val="44546A"/>
          <w:sz w:val="16"/>
          <w:szCs w:val="16"/>
          <w:bdr w:val="none" w:sz="0" w:space="0" w:color="auto"/>
          <w:lang w:val="el-GR"/>
        </w:rPr>
        <w:t>Η μετατροπή σε ευρώ βασίζεται στις συναλλαγματικές ισοτιμίες του 2024.</w:t>
      </w:r>
    </w:p>
    <w:p w14:paraId="1CCAC98F"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ind w:right="700"/>
        <w:rPr>
          <w:rFonts w:eastAsia="Allianz Neo" w:cs="Arial"/>
          <w:color w:val="44546A"/>
          <w:sz w:val="16"/>
          <w:szCs w:val="16"/>
          <w:bdr w:val="none" w:sz="0" w:space="0" w:color="auto"/>
          <w:lang w:val="el-GR"/>
        </w:rPr>
      </w:pPr>
      <w:r w:rsidRPr="0088016F">
        <w:rPr>
          <w:rFonts w:eastAsia="Allianz Neo" w:cs="Arial"/>
          <w:color w:val="44546A"/>
          <w:sz w:val="16"/>
          <w:szCs w:val="16"/>
          <w:bdr w:val="none" w:sz="0" w:space="0" w:color="auto"/>
          <w:lang w:val="el-GR"/>
        </w:rPr>
        <w:t>**</w:t>
      </w:r>
      <w:r w:rsidRPr="0088016F">
        <w:rPr>
          <w:rFonts w:eastAsia="Allianz Neo" w:cs="Arial"/>
          <w:color w:val="auto"/>
          <w:sz w:val="20"/>
          <w:szCs w:val="18"/>
          <w:bdr w:val="none" w:sz="0" w:space="0" w:color="auto"/>
          <w:lang w:val="el-GR"/>
        </w:rPr>
        <w:t xml:space="preserve"> </w:t>
      </w:r>
      <w:r w:rsidRPr="0088016F">
        <w:rPr>
          <w:rFonts w:eastAsia="Allianz Neo" w:cs="Arial"/>
          <w:color w:val="44546A"/>
          <w:sz w:val="16"/>
          <w:szCs w:val="16"/>
          <w:bdr w:val="none" w:sz="0" w:space="0" w:color="auto"/>
          <w:lang w:val="el-GR"/>
        </w:rPr>
        <w:t>Σύνθετος Ετήσιος Ρυθμός Ανάπτυξης.</w:t>
      </w:r>
    </w:p>
    <w:p w14:paraId="2AA32C32"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rPr>
          <w:rFonts w:eastAsia="Allianz Neo" w:cs="Arial"/>
          <w:color w:val="003781"/>
          <w:szCs w:val="20"/>
          <w:bdr w:val="none" w:sz="0" w:space="0" w:color="auto"/>
          <w:lang w:val="el-GR"/>
        </w:rPr>
      </w:pPr>
    </w:p>
    <w:p w14:paraId="50E34B50"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eastAsia="Allianz Neo" w:cs="Arial"/>
          <w:color w:val="auto"/>
          <w:sz w:val="20"/>
          <w:szCs w:val="20"/>
          <w:bdr w:val="none" w:sz="0" w:space="0" w:color="auto"/>
          <w:lang w:val="el-GR"/>
        </w:rPr>
      </w:pPr>
    </w:p>
    <w:p w14:paraId="3ACD0B0A"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cs="Arial"/>
          <w:color w:val="003781"/>
          <w:sz w:val="20"/>
          <w:szCs w:val="20"/>
          <w:bdr w:val="none" w:sz="0" w:space="0" w:color="auto"/>
          <w:lang w:val="el-GR" w:eastAsia="de-DE"/>
        </w:rPr>
      </w:pPr>
      <w:r w:rsidRPr="0088016F">
        <w:rPr>
          <w:rFonts w:eastAsia="SimSun" w:cs="Arial"/>
          <w:color w:val="003781"/>
          <w:sz w:val="20"/>
          <w:szCs w:val="20"/>
          <w:bdr w:val="none" w:sz="0" w:space="0" w:color="auto"/>
          <w:lang w:val="el-GR" w:eastAsia="de-DE"/>
        </w:rPr>
        <w:t xml:space="preserve">Μπορείτε να δείτε τον διαδραστικό «Παγκόσμιο Ασφαλιστικό Χάρτη της Allianz» εδώ: </w:t>
      </w:r>
      <w:hyperlink r:id="rId12" w:history="1">
        <w:r w:rsidRPr="0088016F">
          <w:rPr>
            <w:rFonts w:eastAsia="Times New Roman" w:cs="Arial"/>
            <w:color w:val="003781"/>
            <w:sz w:val="20"/>
            <w:szCs w:val="20"/>
            <w:u w:val="single"/>
            <w:bdr w:val="none" w:sz="0" w:space="0" w:color="auto"/>
            <w:lang w:val="en-US" w:eastAsia="de-DE"/>
          </w:rPr>
          <w:t>https</w:t>
        </w:r>
        <w:r w:rsidRPr="0088016F">
          <w:rPr>
            <w:rFonts w:eastAsia="Times New Roman" w:cs="Arial"/>
            <w:color w:val="003781"/>
            <w:sz w:val="20"/>
            <w:szCs w:val="20"/>
            <w:u w:val="single"/>
            <w:bdr w:val="none" w:sz="0" w:space="0" w:color="auto"/>
            <w:lang w:val="el-GR" w:eastAsia="de-DE"/>
          </w:rPr>
          <w:t>://</w:t>
        </w:r>
        <w:r w:rsidRPr="0088016F">
          <w:rPr>
            <w:rFonts w:eastAsia="Times New Roman" w:cs="Arial"/>
            <w:color w:val="003781"/>
            <w:sz w:val="20"/>
            <w:szCs w:val="20"/>
            <w:u w:val="single"/>
            <w:bdr w:val="none" w:sz="0" w:space="0" w:color="auto"/>
            <w:lang w:val="en-US" w:eastAsia="de-DE"/>
          </w:rPr>
          <w:t>www</w:t>
        </w:r>
        <w:r w:rsidRPr="0088016F">
          <w:rPr>
            <w:rFonts w:eastAsia="Times New Roman" w:cs="Arial"/>
            <w:color w:val="003781"/>
            <w:sz w:val="20"/>
            <w:szCs w:val="20"/>
            <w:u w:val="single"/>
            <w:bdr w:val="none" w:sz="0" w:space="0" w:color="auto"/>
            <w:lang w:val="el-GR" w:eastAsia="de-DE"/>
          </w:rPr>
          <w:t>.</w:t>
        </w:r>
        <w:r w:rsidRPr="0088016F">
          <w:rPr>
            <w:rFonts w:eastAsia="Times New Roman" w:cs="Arial"/>
            <w:color w:val="003781"/>
            <w:sz w:val="20"/>
            <w:szCs w:val="20"/>
            <w:u w:val="single"/>
            <w:bdr w:val="none" w:sz="0" w:space="0" w:color="auto"/>
            <w:lang w:val="en-US" w:eastAsia="de-DE"/>
          </w:rPr>
          <w:t>allianz</w:t>
        </w:r>
        <w:r w:rsidRPr="0088016F">
          <w:rPr>
            <w:rFonts w:eastAsia="Times New Roman" w:cs="Arial"/>
            <w:color w:val="003781"/>
            <w:sz w:val="20"/>
            <w:szCs w:val="20"/>
            <w:u w:val="single"/>
            <w:bdr w:val="none" w:sz="0" w:space="0" w:color="auto"/>
            <w:lang w:val="el-GR" w:eastAsia="de-DE"/>
          </w:rPr>
          <w:t>.</w:t>
        </w:r>
        <w:r w:rsidRPr="0088016F">
          <w:rPr>
            <w:rFonts w:eastAsia="Times New Roman" w:cs="Arial"/>
            <w:color w:val="003781"/>
            <w:sz w:val="20"/>
            <w:szCs w:val="20"/>
            <w:u w:val="single"/>
            <w:bdr w:val="none" w:sz="0" w:space="0" w:color="auto"/>
            <w:lang w:val="en-US" w:eastAsia="de-DE"/>
          </w:rPr>
          <w:t>com</w:t>
        </w:r>
        <w:r w:rsidRPr="0088016F">
          <w:rPr>
            <w:rFonts w:eastAsia="Times New Roman" w:cs="Arial"/>
            <w:color w:val="003781"/>
            <w:sz w:val="20"/>
            <w:szCs w:val="20"/>
            <w:u w:val="single"/>
            <w:bdr w:val="none" w:sz="0" w:space="0" w:color="auto"/>
            <w:lang w:val="el-GR" w:eastAsia="de-DE"/>
          </w:rPr>
          <w:t>/</w:t>
        </w:r>
        <w:r w:rsidRPr="0088016F">
          <w:rPr>
            <w:rFonts w:eastAsia="Times New Roman" w:cs="Arial"/>
            <w:color w:val="003781"/>
            <w:sz w:val="20"/>
            <w:szCs w:val="20"/>
            <w:u w:val="single"/>
            <w:bdr w:val="none" w:sz="0" w:space="0" w:color="auto"/>
            <w:lang w:val="en-US" w:eastAsia="de-DE"/>
          </w:rPr>
          <w:t>en</w:t>
        </w:r>
        <w:r w:rsidRPr="0088016F">
          <w:rPr>
            <w:rFonts w:eastAsia="Times New Roman" w:cs="Arial"/>
            <w:color w:val="003781"/>
            <w:sz w:val="20"/>
            <w:szCs w:val="20"/>
            <w:u w:val="single"/>
            <w:bdr w:val="none" w:sz="0" w:space="0" w:color="auto"/>
            <w:lang w:val="el-GR" w:eastAsia="de-DE"/>
          </w:rPr>
          <w:t>/</w:t>
        </w:r>
        <w:r w:rsidRPr="0088016F">
          <w:rPr>
            <w:rFonts w:eastAsia="Times New Roman" w:cs="Arial"/>
            <w:color w:val="003781"/>
            <w:sz w:val="20"/>
            <w:szCs w:val="20"/>
            <w:u w:val="single"/>
            <w:bdr w:val="none" w:sz="0" w:space="0" w:color="auto"/>
            <w:lang w:val="en-US" w:eastAsia="de-DE"/>
          </w:rPr>
          <w:t>economic</w:t>
        </w:r>
        <w:r w:rsidRPr="0088016F">
          <w:rPr>
            <w:rFonts w:eastAsia="Times New Roman" w:cs="Arial"/>
            <w:color w:val="003781"/>
            <w:sz w:val="20"/>
            <w:szCs w:val="20"/>
            <w:u w:val="single"/>
            <w:bdr w:val="none" w:sz="0" w:space="0" w:color="auto"/>
            <w:lang w:val="el-GR" w:eastAsia="de-DE"/>
          </w:rPr>
          <w:t>_</w:t>
        </w:r>
        <w:r w:rsidRPr="0088016F">
          <w:rPr>
            <w:rFonts w:eastAsia="Times New Roman" w:cs="Arial"/>
            <w:color w:val="003781"/>
            <w:sz w:val="20"/>
            <w:szCs w:val="20"/>
            <w:u w:val="single"/>
            <w:bdr w:val="none" w:sz="0" w:space="0" w:color="auto"/>
            <w:lang w:val="en-US" w:eastAsia="de-DE"/>
          </w:rPr>
          <w:t>research</w:t>
        </w:r>
        <w:r w:rsidRPr="0088016F">
          <w:rPr>
            <w:rFonts w:eastAsia="Times New Roman" w:cs="Arial"/>
            <w:color w:val="003781"/>
            <w:sz w:val="20"/>
            <w:szCs w:val="20"/>
            <w:u w:val="single"/>
            <w:bdr w:val="none" w:sz="0" w:space="0" w:color="auto"/>
            <w:lang w:val="el-GR" w:eastAsia="de-DE"/>
          </w:rPr>
          <w:t>/</w:t>
        </w:r>
        <w:r w:rsidRPr="0088016F">
          <w:rPr>
            <w:rFonts w:eastAsia="Times New Roman" w:cs="Arial"/>
            <w:color w:val="003781"/>
            <w:sz w:val="20"/>
            <w:szCs w:val="20"/>
            <w:u w:val="single"/>
            <w:bdr w:val="none" w:sz="0" w:space="0" w:color="auto"/>
            <w:lang w:val="en-US" w:eastAsia="de-DE"/>
          </w:rPr>
          <w:t>research</w:t>
        </w:r>
        <w:r w:rsidRPr="0088016F">
          <w:rPr>
            <w:rFonts w:eastAsia="Times New Roman" w:cs="Arial"/>
            <w:color w:val="003781"/>
            <w:sz w:val="20"/>
            <w:szCs w:val="20"/>
            <w:u w:val="single"/>
            <w:bdr w:val="none" w:sz="0" w:space="0" w:color="auto"/>
            <w:lang w:val="el-GR" w:eastAsia="de-DE"/>
          </w:rPr>
          <w:t>_</w:t>
        </w:r>
        <w:r w:rsidRPr="0088016F">
          <w:rPr>
            <w:rFonts w:eastAsia="Times New Roman" w:cs="Arial"/>
            <w:color w:val="003781"/>
            <w:sz w:val="20"/>
            <w:szCs w:val="20"/>
            <w:u w:val="single"/>
            <w:bdr w:val="none" w:sz="0" w:space="0" w:color="auto"/>
            <w:lang w:val="en-US" w:eastAsia="de-DE"/>
          </w:rPr>
          <w:t>data</w:t>
        </w:r>
        <w:r w:rsidRPr="0088016F">
          <w:rPr>
            <w:rFonts w:eastAsia="Times New Roman" w:cs="Arial"/>
            <w:color w:val="003781"/>
            <w:sz w:val="20"/>
            <w:szCs w:val="20"/>
            <w:u w:val="single"/>
            <w:bdr w:val="none" w:sz="0" w:space="0" w:color="auto"/>
            <w:lang w:val="el-GR" w:eastAsia="de-DE"/>
          </w:rPr>
          <w:t>/</w:t>
        </w:r>
        <w:r w:rsidRPr="0088016F">
          <w:rPr>
            <w:rFonts w:eastAsia="Times New Roman" w:cs="Arial"/>
            <w:color w:val="003781"/>
            <w:sz w:val="20"/>
            <w:szCs w:val="20"/>
            <w:u w:val="single"/>
            <w:bdr w:val="none" w:sz="0" w:space="0" w:color="auto"/>
            <w:lang w:val="en-US" w:eastAsia="de-DE"/>
          </w:rPr>
          <w:t>global</w:t>
        </w:r>
        <w:r w:rsidRPr="0088016F">
          <w:rPr>
            <w:rFonts w:eastAsia="Times New Roman" w:cs="Arial"/>
            <w:color w:val="003781"/>
            <w:sz w:val="20"/>
            <w:szCs w:val="20"/>
            <w:u w:val="single"/>
            <w:bdr w:val="none" w:sz="0" w:space="0" w:color="auto"/>
            <w:lang w:val="el-GR" w:eastAsia="de-DE"/>
          </w:rPr>
          <w:t>-</w:t>
        </w:r>
        <w:r w:rsidRPr="0088016F">
          <w:rPr>
            <w:rFonts w:eastAsia="Times New Roman" w:cs="Arial"/>
            <w:color w:val="003781"/>
            <w:sz w:val="20"/>
            <w:szCs w:val="20"/>
            <w:u w:val="single"/>
            <w:bdr w:val="none" w:sz="0" w:space="0" w:color="auto"/>
            <w:lang w:val="en-US" w:eastAsia="de-DE"/>
          </w:rPr>
          <w:t>insurance</w:t>
        </w:r>
        <w:r w:rsidRPr="0088016F">
          <w:rPr>
            <w:rFonts w:eastAsia="Times New Roman" w:cs="Arial"/>
            <w:color w:val="003781"/>
            <w:sz w:val="20"/>
            <w:szCs w:val="20"/>
            <w:u w:val="single"/>
            <w:bdr w:val="none" w:sz="0" w:space="0" w:color="auto"/>
            <w:lang w:val="el-GR" w:eastAsia="de-DE"/>
          </w:rPr>
          <w:t>-</w:t>
        </w:r>
        <w:r w:rsidRPr="0088016F">
          <w:rPr>
            <w:rFonts w:eastAsia="Times New Roman" w:cs="Arial"/>
            <w:color w:val="003781"/>
            <w:sz w:val="20"/>
            <w:szCs w:val="20"/>
            <w:u w:val="single"/>
            <w:bdr w:val="none" w:sz="0" w:space="0" w:color="auto"/>
            <w:lang w:val="en-US" w:eastAsia="de-DE"/>
          </w:rPr>
          <w:t>map</w:t>
        </w:r>
        <w:r w:rsidRPr="0088016F">
          <w:rPr>
            <w:rFonts w:eastAsia="Times New Roman" w:cs="Arial"/>
            <w:color w:val="003781"/>
            <w:sz w:val="20"/>
            <w:szCs w:val="20"/>
            <w:u w:val="single"/>
            <w:bdr w:val="none" w:sz="0" w:space="0" w:color="auto"/>
            <w:lang w:val="el-GR" w:eastAsia="de-DE"/>
          </w:rPr>
          <w:t>/</w:t>
        </w:r>
      </w:hyperlink>
    </w:p>
    <w:p w14:paraId="672D4357"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eastAsia="Allianz Neo" w:cs="Arial"/>
          <w:color w:val="auto"/>
          <w:sz w:val="20"/>
          <w:szCs w:val="20"/>
          <w:bdr w:val="none" w:sz="0" w:space="0" w:color="auto"/>
          <w:lang w:val="el-GR"/>
        </w:rPr>
      </w:pPr>
    </w:p>
    <w:p w14:paraId="4E7D5019" w14:textId="77777777" w:rsidR="0088016F" w:rsidRPr="0088016F" w:rsidRDefault="0088016F" w:rsidP="0088016F">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eastAsia="Allianz Neo" w:cs="Arial"/>
          <w:color w:val="003781"/>
          <w:sz w:val="20"/>
          <w:szCs w:val="20"/>
          <w:u w:val="single"/>
          <w:bdr w:val="none" w:sz="0" w:space="0" w:color="auto"/>
          <w:lang w:val="el-GR"/>
        </w:rPr>
      </w:pPr>
      <w:r w:rsidRPr="0088016F">
        <w:rPr>
          <w:rFonts w:eastAsia="SimSun" w:cs="Arial"/>
          <w:color w:val="003781"/>
          <w:sz w:val="20"/>
          <w:szCs w:val="20"/>
          <w:bdr w:val="none" w:sz="0" w:space="0" w:color="auto"/>
          <w:lang w:val="el-GR" w:eastAsia="de-DE"/>
        </w:rPr>
        <w:t>Μπορείτε να βρείτε τη μελέτη εδώ</w:t>
      </w:r>
      <w:r w:rsidRPr="0088016F">
        <w:rPr>
          <w:rFonts w:eastAsia="Allianz Neo" w:cs="Arial"/>
          <w:color w:val="003781"/>
          <w:sz w:val="20"/>
          <w:szCs w:val="20"/>
          <w:bdr w:val="none" w:sz="0" w:space="0" w:color="auto"/>
          <w:lang w:val="el-GR"/>
        </w:rPr>
        <w:t xml:space="preserve">: </w:t>
      </w:r>
      <w:hyperlink r:id="rId13" w:history="1">
        <w:r w:rsidRPr="0088016F">
          <w:rPr>
            <w:rFonts w:eastAsia="Allianz Neo" w:cs="Arial"/>
            <w:color w:val="003781"/>
            <w:sz w:val="20"/>
            <w:szCs w:val="20"/>
            <w:u w:val="single"/>
            <w:bdr w:val="none" w:sz="0" w:space="0" w:color="auto"/>
            <w:lang w:val="en-US"/>
          </w:rPr>
          <w:t>Economic</w:t>
        </w:r>
        <w:r w:rsidRPr="0088016F">
          <w:rPr>
            <w:rFonts w:eastAsia="Allianz Neo" w:cs="Arial"/>
            <w:color w:val="003781"/>
            <w:sz w:val="20"/>
            <w:szCs w:val="20"/>
            <w:u w:val="single"/>
            <w:bdr w:val="none" w:sz="0" w:space="0" w:color="auto"/>
            <w:lang w:val="el-GR"/>
          </w:rPr>
          <w:t xml:space="preserve"> </w:t>
        </w:r>
        <w:r w:rsidRPr="0088016F">
          <w:rPr>
            <w:rFonts w:eastAsia="Allianz Neo" w:cs="Arial"/>
            <w:color w:val="003781"/>
            <w:sz w:val="20"/>
            <w:szCs w:val="20"/>
            <w:u w:val="single"/>
            <w:bdr w:val="none" w:sz="0" w:space="0" w:color="auto"/>
            <w:lang w:val="en-US"/>
          </w:rPr>
          <w:t>Research</w:t>
        </w:r>
        <w:r w:rsidRPr="0088016F">
          <w:rPr>
            <w:rFonts w:eastAsia="Allianz Neo" w:cs="Arial"/>
            <w:color w:val="003781"/>
            <w:sz w:val="20"/>
            <w:szCs w:val="20"/>
            <w:u w:val="single"/>
            <w:bdr w:val="none" w:sz="0" w:space="0" w:color="auto"/>
            <w:lang w:val="el-GR"/>
          </w:rPr>
          <w:t xml:space="preserve"> | </w:t>
        </w:r>
        <w:r w:rsidRPr="0088016F">
          <w:rPr>
            <w:rFonts w:eastAsia="Allianz Neo" w:cs="Arial"/>
            <w:color w:val="003781"/>
            <w:sz w:val="20"/>
            <w:szCs w:val="20"/>
            <w:u w:val="single"/>
            <w:bdr w:val="none" w:sz="0" w:space="0" w:color="auto"/>
            <w:lang w:val="en-US"/>
          </w:rPr>
          <w:t>Allianz</w:t>
        </w:r>
      </w:hyperlink>
    </w:p>
    <w:p w14:paraId="1C7B252E" w14:textId="77777777" w:rsidR="0088016F" w:rsidRPr="0088016F" w:rsidRDefault="0088016F" w:rsidP="00BF2E13">
      <w:pPr>
        <w:pBdr>
          <w:top w:val="none" w:sz="0" w:space="0" w:color="auto"/>
          <w:left w:val="none" w:sz="0" w:space="0" w:color="auto"/>
          <w:bottom w:val="none" w:sz="0" w:space="0" w:color="auto"/>
          <w:right w:val="none" w:sz="0" w:space="0" w:color="auto"/>
          <w:between w:val="none" w:sz="0" w:space="0" w:color="auto"/>
          <w:bar w:val="none" w:sz="0" w:color="auto"/>
        </w:pBdr>
        <w:tabs>
          <w:tab w:val="left" w:pos="8370"/>
          <w:tab w:val="left" w:pos="8550"/>
        </w:tabs>
        <w:suppressAutoHyphens/>
        <w:spacing w:line="276" w:lineRule="auto"/>
        <w:ind w:right="-81"/>
        <w:rPr>
          <w:rFonts w:eastAsia="Allianz Neo" w:cs="Arial"/>
          <w:b/>
          <w:bCs/>
          <w:color w:val="002060"/>
          <w:sz w:val="24"/>
          <w:szCs w:val="24"/>
          <w:bdr w:val="none" w:sz="0" w:space="0" w:color="auto"/>
          <w:lang w:val="el-GR"/>
        </w:rPr>
      </w:pPr>
    </w:p>
    <w:p w14:paraId="3D33378E" w14:textId="77777777" w:rsidR="0088016F" w:rsidRDefault="0088016F" w:rsidP="00BF2E13">
      <w:pPr>
        <w:pBdr>
          <w:top w:val="none" w:sz="0" w:space="0" w:color="auto"/>
          <w:left w:val="none" w:sz="0" w:space="0" w:color="auto"/>
          <w:bottom w:val="none" w:sz="0" w:space="0" w:color="auto"/>
          <w:right w:val="none" w:sz="0" w:space="0" w:color="auto"/>
          <w:between w:val="none" w:sz="0" w:space="0" w:color="auto"/>
          <w:bar w:val="none" w:sz="0" w:color="auto"/>
        </w:pBdr>
        <w:tabs>
          <w:tab w:val="left" w:pos="8370"/>
          <w:tab w:val="left" w:pos="8550"/>
        </w:tabs>
        <w:suppressAutoHyphens/>
        <w:spacing w:line="276" w:lineRule="auto"/>
        <w:ind w:right="-81"/>
        <w:rPr>
          <w:rFonts w:eastAsia="Allianz Neo" w:cs="Arial"/>
          <w:b/>
          <w:bCs/>
          <w:color w:val="002060"/>
          <w:sz w:val="24"/>
          <w:szCs w:val="24"/>
          <w:bdr w:val="none" w:sz="0" w:space="0" w:color="auto"/>
        </w:rPr>
      </w:pPr>
    </w:p>
    <w:p w14:paraId="22AB2D05" w14:textId="77777777" w:rsidR="00EE40C3" w:rsidRDefault="00EE40C3" w:rsidP="004726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Allianz Neo" w:cs="Arial"/>
          <w:color w:val="002060"/>
          <w:sz w:val="20"/>
          <w:szCs w:val="20"/>
          <w:bdr w:val="none" w:sz="0" w:space="0" w:color="auto"/>
          <w:lang w:val="el-GR"/>
        </w:rPr>
      </w:pPr>
    </w:p>
    <w:p w14:paraId="1B193A7F" w14:textId="77777777" w:rsidR="00EE40C3" w:rsidRDefault="00EE40C3" w:rsidP="004726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Allianz Neo" w:cs="Arial"/>
          <w:color w:val="002060"/>
          <w:sz w:val="20"/>
          <w:szCs w:val="20"/>
          <w:bdr w:val="none" w:sz="0" w:space="0" w:color="auto"/>
          <w:lang w:val="el-GR"/>
        </w:rPr>
      </w:pPr>
    </w:p>
    <w:p w14:paraId="5A0A9AD1" w14:textId="77777777" w:rsidR="00EE40C3" w:rsidRDefault="00EE40C3" w:rsidP="004726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Allianz Neo" w:cs="Arial"/>
          <w:color w:val="002060"/>
          <w:sz w:val="20"/>
          <w:szCs w:val="20"/>
          <w:bdr w:val="none" w:sz="0" w:space="0" w:color="auto"/>
          <w:lang w:val="el-GR"/>
        </w:rPr>
      </w:pPr>
    </w:p>
    <w:p w14:paraId="74775B8E" w14:textId="77777777" w:rsidR="00EE40C3" w:rsidRDefault="00EE40C3" w:rsidP="004726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Allianz Neo" w:cs="Arial"/>
          <w:color w:val="002060"/>
          <w:sz w:val="20"/>
          <w:szCs w:val="20"/>
          <w:bdr w:val="none" w:sz="0" w:space="0" w:color="auto"/>
          <w:lang w:val="el-GR"/>
        </w:rPr>
      </w:pPr>
    </w:p>
    <w:p w14:paraId="7E84DDCA" w14:textId="77777777" w:rsidR="00EE40C3" w:rsidRDefault="00EE40C3" w:rsidP="004726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Allianz Neo" w:cs="Arial"/>
          <w:color w:val="002060"/>
          <w:sz w:val="20"/>
          <w:szCs w:val="20"/>
          <w:bdr w:val="none" w:sz="0" w:space="0" w:color="auto"/>
          <w:lang w:val="el-GR"/>
        </w:rPr>
      </w:pPr>
    </w:p>
    <w:p w14:paraId="35940DD3" w14:textId="77777777" w:rsidR="00EE40C3" w:rsidRDefault="00EE40C3" w:rsidP="004726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Allianz Neo" w:cs="Arial"/>
          <w:color w:val="002060"/>
          <w:sz w:val="20"/>
          <w:szCs w:val="20"/>
          <w:bdr w:val="none" w:sz="0" w:space="0" w:color="auto"/>
          <w:lang w:val="el-GR"/>
        </w:rPr>
      </w:pPr>
    </w:p>
    <w:p w14:paraId="2CC2AF75" w14:textId="4A3D87EB" w:rsidR="004726D1" w:rsidRPr="00705982" w:rsidRDefault="004726D1" w:rsidP="004726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Allianz Neo" w:cs="Arial"/>
          <w:color w:val="002060"/>
          <w:sz w:val="20"/>
          <w:szCs w:val="20"/>
          <w:bdr w:val="none" w:sz="0" w:space="0" w:color="auto"/>
          <w:lang w:val="el-GR"/>
        </w:rPr>
      </w:pPr>
      <w:r w:rsidRPr="00705982">
        <w:rPr>
          <w:rFonts w:eastAsia="Allianz Neo" w:cs="Arial"/>
          <w:color w:val="002060"/>
          <w:sz w:val="20"/>
          <w:szCs w:val="20"/>
          <w:bdr w:val="none" w:sz="0" w:space="0" w:color="auto"/>
          <w:lang w:val="el-GR"/>
        </w:rPr>
        <w:t>Για περισσότερες πληροφορίες, επικοινωνήστε:</w:t>
      </w:r>
    </w:p>
    <w:p w14:paraId="718502EB" w14:textId="5877A80F" w:rsidR="004726D1" w:rsidRPr="00705982" w:rsidRDefault="004726D1" w:rsidP="004726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Allianz Neo" w:cs="Arial"/>
          <w:color w:val="002060"/>
          <w:sz w:val="20"/>
          <w:szCs w:val="20"/>
          <w:bdr w:val="none" w:sz="0" w:space="0" w:color="auto"/>
          <w:lang w:val="el-GR"/>
        </w:rPr>
      </w:pPr>
      <w:r w:rsidRPr="00705982">
        <w:rPr>
          <w:rFonts w:eastAsia="Allianz Neo" w:cs="Arial"/>
          <w:color w:val="002060"/>
          <w:sz w:val="20"/>
          <w:szCs w:val="20"/>
          <w:bdr w:val="none" w:sz="0" w:space="0" w:color="auto"/>
          <w:lang w:val="el-GR"/>
        </w:rPr>
        <w:t xml:space="preserve">Ευάγγελος Τιτόπουλος, Marketing &amp; Communications Specialist, </w:t>
      </w:r>
      <w:r w:rsidR="00DD5835" w:rsidRPr="00705982">
        <w:rPr>
          <w:rFonts w:eastAsia="Allianz Neo" w:cs="Arial"/>
          <w:color w:val="002060"/>
          <w:sz w:val="20"/>
          <w:szCs w:val="20"/>
          <w:bdr w:val="none" w:sz="0" w:space="0" w:color="auto"/>
          <w:lang w:val="el-GR"/>
        </w:rPr>
        <w:t>Τ</w:t>
      </w:r>
      <w:r w:rsidR="00175E08" w:rsidRPr="00705982">
        <w:rPr>
          <w:rFonts w:eastAsia="Allianz Neo" w:cs="Arial"/>
          <w:color w:val="002060"/>
          <w:sz w:val="20"/>
          <w:szCs w:val="20"/>
          <w:bdr w:val="none" w:sz="0" w:space="0" w:color="auto"/>
          <w:lang w:val="el-GR"/>
        </w:rPr>
        <w:t>ηλ</w:t>
      </w:r>
      <w:r w:rsidRPr="00705982">
        <w:rPr>
          <w:rFonts w:eastAsia="Allianz Neo" w:cs="Arial"/>
          <w:color w:val="002060"/>
          <w:sz w:val="20"/>
          <w:szCs w:val="20"/>
          <w:bdr w:val="none" w:sz="0" w:space="0" w:color="auto"/>
          <w:lang w:val="el-GR"/>
        </w:rPr>
        <w:t>: 216 2001352</w:t>
      </w:r>
    </w:p>
    <w:sectPr w:rsidR="004726D1" w:rsidRPr="00705982" w:rsidSect="00365FA6">
      <w:headerReference w:type="even" r:id="rId14"/>
      <w:headerReference w:type="default" r:id="rId15"/>
      <w:footerReference w:type="even" r:id="rId16"/>
      <w:footerReference w:type="default" r:id="rId17"/>
      <w:headerReference w:type="first" r:id="rId18"/>
      <w:footerReference w:type="first" r:id="rId19"/>
      <w:pgSz w:w="11900" w:h="16840"/>
      <w:pgMar w:top="1418" w:right="1640" w:bottom="1620" w:left="16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469B" w14:textId="77777777" w:rsidR="00337143" w:rsidRDefault="00337143" w:rsidP="00AC6026">
      <w:r>
        <w:separator/>
      </w:r>
    </w:p>
  </w:endnote>
  <w:endnote w:type="continuationSeparator" w:id="0">
    <w:p w14:paraId="69FE36CE" w14:textId="77777777" w:rsidR="00337143" w:rsidRDefault="00337143" w:rsidP="00AC6026">
      <w:r>
        <w:continuationSeparator/>
      </w:r>
    </w:p>
  </w:endnote>
  <w:endnote w:type="continuationNotice" w:id="1">
    <w:p w14:paraId="2CCE22F9" w14:textId="77777777" w:rsidR="00337143" w:rsidRDefault="00337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llianz Neo">
    <w:altName w:val="Calibri"/>
    <w:charset w:val="00"/>
    <w:family w:val="swiss"/>
    <w:pitch w:val="variable"/>
    <w:sig w:usb0="A0000067" w:usb1="00000001" w:usb2="00000000" w:usb3="00000000" w:csb0="00000093" w:csb1="00000000"/>
  </w:font>
  <w:font w:name="Arial">
    <w:panose1 w:val="020B0604020202020204"/>
    <w:charset w:val="A1"/>
    <w:family w:val="swiss"/>
    <w:pitch w:val="variable"/>
    <w:sig w:usb0="E0002EFF" w:usb1="C000785B" w:usb2="00000009" w:usb3="00000000" w:csb0="000001FF" w:csb1="00000000"/>
  </w:font>
  <w:font w:name="Noto Sans Symbols">
    <w:altName w:val="Calibri"/>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ヒラギノ角ゴ Pro W3">
    <w:altName w:val="MS Gothic"/>
    <w:panose1 w:val="00000000000000000000"/>
    <w:charset w:val="80"/>
    <w:family w:val="auto"/>
    <w:notTrueType/>
    <w:pitch w:val="variable"/>
    <w:sig w:usb0="00000000" w:usb1="00000000" w:usb2="01000407" w:usb3="00000000" w:csb0="00020000" w:csb1="00000000"/>
  </w:font>
  <w:font w:name="Allianz Serif Light">
    <w:altName w:val="Calibri"/>
    <w:charset w:val="00"/>
    <w:family w:val="auto"/>
    <w:pitch w:val="variable"/>
    <w:sig w:usb0="A00000AF" w:usb1="5000E96A" w:usb2="00000000" w:usb3="00000000" w:csb0="00000193" w:csb1="00000000"/>
  </w:font>
  <w:font w:name="Allianz Serif F Light">
    <w:altName w:val="Arial"/>
    <w:charset w:val="00"/>
    <w:family w:val="modern"/>
    <w:pitch w:val="variable"/>
    <w:sig w:usb0="00000001" w:usb1="5000214A" w:usb2="0000001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3296" w14:textId="6F065D3E" w:rsidR="00547AAD" w:rsidRDefault="00547AAD" w:rsidP="00547AAD">
    <w:pPr>
      <w:pStyle w:val="Footer"/>
      <w:rPr>
        <w:rFonts w:ascii="Tahoma" w:hAnsi="Tahoma" w:cs="Tahoma"/>
        <w:smallCaps/>
        <w:noProof/>
        <w:color w:val="404040"/>
        <w:sz w:val="16"/>
      </w:rPr>
    </w:pPr>
    <w:r>
      <w:rPr>
        <w:rFonts w:ascii="Tahoma" w:hAnsi="Tahoma" w:cs="Tahoma"/>
        <w:smallCaps/>
        <w:noProof/>
        <w:color w:val="404040"/>
        <w:sz w:val="16"/>
      </w:rPr>
      <w:fldChar w:fldCharType="begin" w:fldLock="1"/>
    </w:r>
    <w:r>
      <w:rPr>
        <w:rFonts w:ascii="Tahoma" w:hAnsi="Tahoma" w:cs="Tahoma"/>
        <w:smallCaps/>
        <w:noProof/>
        <w:color w:val="404040"/>
        <w:sz w:val="16"/>
      </w:rPr>
      <w:instrText xml:space="preserve"> DOCPROPERTY bjFooterEvenPageDocProperty \* MERGEFORMAT </w:instrText>
    </w:r>
    <w:r>
      <w:rPr>
        <w:rFonts w:ascii="Tahoma" w:hAnsi="Tahoma" w:cs="Tahoma"/>
        <w:smallCaps/>
        <w:noProof/>
        <w:color w:val="404040"/>
        <w:sz w:val="16"/>
      </w:rPr>
      <w:fldChar w:fldCharType="separate"/>
    </w:r>
    <w:r w:rsidRPr="00547AAD">
      <w:rPr>
        <w:rFonts w:cs="Arial"/>
        <w:b/>
        <w:noProof/>
        <w:color w:val="00FF00"/>
        <w:sz w:val="18"/>
      </w:rPr>
      <w:t>Δημόσιας Χρήσης</w:t>
    </w:r>
    <w:r w:rsidRPr="00547AAD">
      <w:rPr>
        <w:rFonts w:cs="Arial"/>
        <w:b/>
        <w:noProof/>
        <w:sz w:val="18"/>
      </w:rPr>
      <w:t xml:space="preserve"> | </w:t>
    </w:r>
    <w:r w:rsidRPr="00547AAD">
      <w:rPr>
        <w:rFonts w:cs="Arial"/>
        <w:noProof/>
        <w:sz w:val="18"/>
      </w:rPr>
      <w:t>Allianz</w:t>
    </w:r>
    <w:r>
      <w:rPr>
        <w:rFonts w:ascii="Tahoma" w:hAnsi="Tahoma" w:cs="Tahoma"/>
        <w:smallCaps/>
        <w:noProof/>
        <w:color w:val="404040"/>
        <w:sz w:val="16"/>
      </w:rPr>
      <w:fldChar w:fldCharType="end"/>
    </w:r>
  </w:p>
  <w:p w14:paraId="4F1525D6" w14:textId="66BE6748" w:rsidR="00BE1952" w:rsidRPr="007725F2" w:rsidRDefault="00BE1952">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"wsKG"  \* MERGEFORMAT </w:instrText>
    </w:r>
    <w:r>
      <w:rPr>
        <w:rFonts w:ascii="Tahoma" w:hAnsi="Tahoma" w:cs="Tahoma"/>
        <w:smallCaps/>
        <w:noProof/>
        <w:color w:val="404040"/>
        <w:sz w:val="16"/>
      </w:rPr>
      <w:fldChar w:fldCharType="separate"/>
    </w:r>
    <w:r w:rsidR="002A7439">
      <w:rPr>
        <w:rFonts w:ascii="Tahoma" w:hAnsi="Tahoma" w:cs="Tahoma"/>
        <w:smallCaps/>
        <w:noProof/>
        <w:color w:val="404040"/>
        <w:sz w:val="16"/>
      </w:rPr>
      <w:t>KG Law Firm ref. num.: 4.905.149</w:t>
    </w:r>
    <w:r>
      <w:rPr>
        <w:rFonts w:ascii="Tahoma" w:hAnsi="Tahoma" w:cs="Tahoma"/>
        <w:smallCaps/>
        <w:noProof/>
        <w:color w:val="40404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F0CD" w14:textId="7C5C794E" w:rsidR="006A39EB" w:rsidRPr="00547AAD" w:rsidRDefault="00547AAD" w:rsidP="00547AAD">
    <w:pPr>
      <w:pStyle w:val="Footer"/>
    </w:pPr>
    <w:fldSimple w:instr=" DOCPROPERTY bjFooterBothDocProperty \* MERGEFORMAT " w:fldLock="1">
      <w:r w:rsidRPr="00547AAD">
        <w:rPr>
          <w:rFonts w:cs="Arial"/>
          <w:b/>
          <w:color w:val="00FF00"/>
          <w:sz w:val="18"/>
        </w:rPr>
        <w:t>Δημόσιας Χρήσης</w:t>
      </w:r>
      <w:r w:rsidRPr="00547AAD">
        <w:rPr>
          <w:rFonts w:cs="Arial"/>
          <w:b/>
          <w:sz w:val="18"/>
        </w:rPr>
        <w:t xml:space="preserve"> | </w:t>
      </w:r>
      <w:r w:rsidRPr="00547AAD">
        <w:rPr>
          <w:rFonts w:cs="Arial"/>
          <w:sz w:val="18"/>
        </w:rPr>
        <w:t>Allianz</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4674" w14:textId="78334C5D" w:rsidR="001251D1" w:rsidRPr="00547AAD" w:rsidRDefault="00547AAD" w:rsidP="00547AAD">
    <w:pPr>
      <w:pStyle w:val="Footer"/>
    </w:pPr>
    <w:fldSimple w:instr=" DOCPROPERTY bjFooterFirstPageDocProperty \* MERGEFORMAT " w:fldLock="1">
      <w:r w:rsidRPr="00547AAD">
        <w:rPr>
          <w:rFonts w:cs="Arial"/>
          <w:b/>
          <w:color w:val="00FF00"/>
          <w:sz w:val="18"/>
        </w:rPr>
        <w:t>Δημόσιας Χρήσης</w:t>
      </w:r>
      <w:r w:rsidRPr="00547AAD">
        <w:rPr>
          <w:rFonts w:cs="Arial"/>
          <w:b/>
          <w:sz w:val="18"/>
        </w:rPr>
        <w:t xml:space="preserve"> | </w:t>
      </w:r>
      <w:r w:rsidRPr="00547AAD">
        <w:rPr>
          <w:rFonts w:cs="Arial"/>
          <w:sz w:val="18"/>
        </w:rPr>
        <w:t>Allianz</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2B015" w14:textId="77777777" w:rsidR="00337143" w:rsidRDefault="00337143" w:rsidP="00AC6026">
      <w:r>
        <w:separator/>
      </w:r>
    </w:p>
  </w:footnote>
  <w:footnote w:type="continuationSeparator" w:id="0">
    <w:p w14:paraId="7E83BC62" w14:textId="77777777" w:rsidR="00337143" w:rsidRDefault="00337143" w:rsidP="00AC6026">
      <w:r>
        <w:continuationSeparator/>
      </w:r>
    </w:p>
  </w:footnote>
  <w:footnote w:type="continuationNotice" w:id="1">
    <w:p w14:paraId="6D322B34" w14:textId="77777777" w:rsidR="00337143" w:rsidRDefault="003371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2DFD" w14:textId="514B9F49" w:rsidR="009327FD" w:rsidRDefault="00DF1FAC">
    <w:pPr>
      <w:pStyle w:val="Header"/>
    </w:pPr>
    <w:r>
      <w:rPr>
        <w:noProof/>
        <w:bdr w:val="none" w:sz="0" w:space="0" w:color="auto"/>
      </w:rPr>
      <mc:AlternateContent>
        <mc:Choice Requires="wps">
          <w:drawing>
            <wp:anchor distT="0" distB="0" distL="0" distR="0" simplePos="0" relativeHeight="251659264" behindDoc="0" locked="0" layoutInCell="1" allowOverlap="1" wp14:anchorId="5D2AA27D" wp14:editId="5875A54D">
              <wp:simplePos x="635" y="635"/>
              <wp:positionH relativeFrom="page">
                <wp:align>center</wp:align>
              </wp:positionH>
              <wp:positionV relativeFrom="page">
                <wp:align>top</wp:align>
              </wp:positionV>
              <wp:extent cx="443865" cy="443865"/>
              <wp:effectExtent l="0" t="0" r="13335" b="16510"/>
              <wp:wrapNone/>
              <wp:docPr id="5"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563793" w14:textId="159EF8DE" w:rsidR="00DF1FAC" w:rsidRPr="00DF1FAC" w:rsidRDefault="00DF1FAC" w:rsidP="00DF1FAC">
                          <w:pPr>
                            <w:rPr>
                              <w:rFonts w:ascii="Calibri" w:eastAsia="Calibri" w:hAnsi="Calibri" w:cs="Calibri"/>
                              <w:noProof/>
                              <w:sz w:val="20"/>
                              <w:szCs w:val="20"/>
                            </w:rPr>
                          </w:pPr>
                          <w:r w:rsidRPr="00DF1FAC">
                            <w:rPr>
                              <w:rFonts w:ascii="Calibri" w:eastAsia="Calibri" w:hAnsi="Calibri" w:cs="Calibri"/>
                              <w:noProof/>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2AA27D" id="_x0000_t202" coordsize="21600,21600" o:spt="202" path="m,l,21600r21600,l21600,xe">
              <v:stroke joinstyle="miter"/>
              <v:path gradientshapeok="t" o:connecttype="rect"/>
            </v:shapetype>
            <v:shape id="Text Box 5"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563793" w14:textId="159EF8DE" w:rsidR="00DF1FAC" w:rsidRPr="00DF1FAC" w:rsidRDefault="00DF1FAC" w:rsidP="00DF1FAC">
                    <w:pPr>
                      <w:rPr>
                        <w:rFonts w:ascii="Calibri" w:eastAsia="Calibri" w:hAnsi="Calibri" w:cs="Calibri"/>
                        <w:noProof/>
                        <w:sz w:val="20"/>
                        <w:szCs w:val="20"/>
                      </w:rPr>
                    </w:pPr>
                    <w:r w:rsidRPr="00DF1FAC">
                      <w:rPr>
                        <w:rFonts w:ascii="Calibri" w:eastAsia="Calibri" w:hAnsi="Calibri" w:cs="Calibri"/>
                        <w:noProof/>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006C" w14:textId="77777777" w:rsidR="00547AAD" w:rsidRDefault="00547A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CFAF" w14:textId="5DC14343" w:rsidR="0058232A" w:rsidRDefault="0058232A" w:rsidP="0058232A">
    <w:pPr>
      <w:pStyle w:val="Header"/>
      <w:tabs>
        <w:tab w:val="clear" w:pos="9072"/>
        <w:tab w:val="right" w:pos="9044"/>
      </w:tabs>
      <w:rPr>
        <w:rFonts w:eastAsia="Arial Unicode MS" w:cs="Arial Unicode MS"/>
      </w:rPr>
    </w:pPr>
    <w:r>
      <w:rPr>
        <w:rFonts w:eastAsia="Arial Unicode MS" w:cs="Arial Unicode MS"/>
        <w:noProof/>
        <w:lang w:val="el-GR" w:eastAsia="el-GR"/>
      </w:rPr>
      <w:drawing>
        <wp:inline distT="0" distB="0" distL="0" distR="0" wp14:anchorId="333D4FB7" wp14:editId="5A3E3EC6">
          <wp:extent cx="1512000" cy="374828"/>
          <wp:effectExtent l="0" t="0" r="0" b="6350"/>
          <wp:docPr id="1019981210" name="Picture 1948577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Z_Logo_positiv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000" cy="374828"/>
                  </a:xfrm>
                  <a:prstGeom prst="rect">
                    <a:avLst/>
                  </a:prstGeom>
                </pic:spPr>
              </pic:pic>
            </a:graphicData>
          </a:graphic>
        </wp:inline>
      </w:drawing>
    </w:r>
  </w:p>
  <w:p w14:paraId="6066BE3C" w14:textId="77777777" w:rsidR="0058232A" w:rsidRPr="0058232A" w:rsidRDefault="0058232A" w:rsidP="0058232A">
    <w:pPr>
      <w:pStyle w:val="Header"/>
      <w:tabs>
        <w:tab w:val="clear" w:pos="9072"/>
        <w:tab w:val="right" w:pos="9044"/>
      </w:tabs>
      <w:rPr>
        <w:rFonts w:eastAsia="Arial Unicode MS" w:cs="Arial Unicode MS"/>
      </w:rPr>
    </w:pPr>
  </w:p>
  <w:p w14:paraId="0D650F8F" w14:textId="60848263" w:rsidR="00BD694C" w:rsidRPr="00AE3A4F" w:rsidRDefault="0058232A" w:rsidP="00BD694C">
    <w:pPr>
      <w:tabs>
        <w:tab w:val="left" w:pos="3176"/>
      </w:tabs>
      <w:spacing w:line="276" w:lineRule="auto"/>
      <w:ind w:right="790"/>
      <w:rPr>
        <w:rFonts w:cs="Arial"/>
        <w:b/>
        <w:color w:val="003781"/>
        <w:sz w:val="18"/>
        <w:szCs w:val="20"/>
      </w:rPr>
    </w:pPr>
    <w:r w:rsidRPr="00AE3A4F">
      <w:rPr>
        <w:rFonts w:cs="Arial"/>
        <w:b/>
        <w:color w:val="003781"/>
        <w:sz w:val="18"/>
        <w:szCs w:val="20"/>
      </w:rPr>
      <w:t xml:space="preserve">ALLIANZ </w:t>
    </w:r>
    <w:r w:rsidR="00CE0002">
      <w:rPr>
        <w:rFonts w:cs="Arial"/>
        <w:b/>
        <w:color w:val="003781"/>
        <w:sz w:val="18"/>
        <w:szCs w:val="20"/>
        <w:lang w:val="el-GR"/>
      </w:rPr>
      <w:t>ΕΥΡΩΠΑΪΚΗ</w:t>
    </w:r>
    <w:r w:rsidR="00CE0002" w:rsidRPr="00892BA1">
      <w:rPr>
        <w:rFonts w:cs="Arial"/>
        <w:b/>
        <w:color w:val="003781"/>
        <w:sz w:val="18"/>
        <w:szCs w:val="20"/>
      </w:rPr>
      <w:t xml:space="preserve"> </w:t>
    </w:r>
    <w:r w:rsidR="00CE0002">
      <w:rPr>
        <w:rFonts w:cs="Arial"/>
        <w:b/>
        <w:color w:val="003781"/>
        <w:sz w:val="18"/>
        <w:szCs w:val="20"/>
        <w:lang w:val="el-GR"/>
      </w:rPr>
      <w:t>ΠΙΣΤΗ</w:t>
    </w:r>
    <w:r w:rsidR="00CE0002" w:rsidRPr="00892BA1">
      <w:rPr>
        <w:rFonts w:cs="Arial"/>
        <w:b/>
        <w:color w:val="003781"/>
        <w:sz w:val="18"/>
        <w:szCs w:val="20"/>
      </w:rPr>
      <w:t xml:space="preserve"> </w:t>
    </w:r>
    <w:r w:rsidRPr="0058232A">
      <w:rPr>
        <w:rFonts w:cs="Arial"/>
        <w:b/>
        <w:color w:val="003781"/>
        <w:sz w:val="18"/>
        <w:szCs w:val="20"/>
      </w:rPr>
      <w:t xml:space="preserve">ΔΙΕYΘΥΝΣΗ </w:t>
    </w:r>
    <w:r w:rsidRPr="00AE3A4F">
      <w:rPr>
        <w:rFonts w:cs="Arial"/>
        <w:b/>
        <w:color w:val="003781"/>
        <w:sz w:val="18"/>
        <w:szCs w:val="20"/>
      </w:rPr>
      <w:t xml:space="preserve">MARKETING, </w:t>
    </w:r>
    <w:r w:rsidRPr="0058232A">
      <w:rPr>
        <w:rFonts w:cs="Arial"/>
        <w:b/>
        <w:color w:val="003781"/>
        <w:sz w:val="18"/>
        <w:szCs w:val="20"/>
        <w:lang w:val="el-GR"/>
      </w:rPr>
      <w:t>ΕΠΙΚΟΙΝΩΝΙΑΣ</w:t>
    </w:r>
    <w:r w:rsidRPr="00AE3A4F">
      <w:rPr>
        <w:rFonts w:cs="Arial"/>
        <w:b/>
        <w:color w:val="003781"/>
        <w:sz w:val="18"/>
        <w:szCs w:val="20"/>
      </w:rPr>
      <w:t>, CRM &amp; CCC</w:t>
    </w:r>
  </w:p>
  <w:p w14:paraId="10744555" w14:textId="77777777" w:rsidR="001251D1" w:rsidRPr="00AE3A4F" w:rsidRDefault="001251D1">
    <w:pPr>
      <w:pStyle w:val="Header"/>
      <w:tabs>
        <w:tab w:val="clear" w:pos="9072"/>
        <w:tab w:val="right" w:pos="9044"/>
      </w:tabs>
      <w:rPr>
        <w:sz w:val="10"/>
        <w:szCs w:val="10"/>
      </w:rPr>
    </w:pPr>
  </w:p>
  <w:p w14:paraId="777E0E5D" w14:textId="77777777" w:rsidR="001251D1" w:rsidRPr="00AE3A4F" w:rsidRDefault="001251D1">
    <w:pPr>
      <w:pStyle w:val="Header"/>
      <w:tabs>
        <w:tab w:val="clear" w:pos="9072"/>
        <w:tab w:val="right" w:pos="9044"/>
      </w:tabs>
      <w:rPr>
        <w:sz w:val="48"/>
        <w:szCs w:val="48"/>
      </w:rPr>
    </w:pPr>
  </w:p>
  <w:p w14:paraId="39FA0D7B" w14:textId="0BC19B72" w:rsidR="001251D1" w:rsidRPr="00AE3A4F" w:rsidRDefault="001251D1" w:rsidP="00485C2A">
    <w:pPr>
      <w:pStyle w:val="Header"/>
      <w:tabs>
        <w:tab w:val="clear" w:pos="9072"/>
        <w:tab w:val="right" w:pos="9044"/>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EF8"/>
    <w:multiLevelType w:val="hybridMultilevel"/>
    <w:tmpl w:val="67A0EA12"/>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F1C55"/>
    <w:multiLevelType w:val="hybridMultilevel"/>
    <w:tmpl w:val="2340D92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2314F1"/>
    <w:multiLevelType w:val="hybridMultilevel"/>
    <w:tmpl w:val="3F42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13233"/>
    <w:multiLevelType w:val="multilevel"/>
    <w:tmpl w:val="29AAE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C1457BD"/>
    <w:multiLevelType w:val="hybridMultilevel"/>
    <w:tmpl w:val="82F686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1D3D7130"/>
    <w:multiLevelType w:val="hybridMultilevel"/>
    <w:tmpl w:val="3E6E6AB0"/>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FE204E"/>
    <w:multiLevelType w:val="hybridMultilevel"/>
    <w:tmpl w:val="2ADA7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0A771E"/>
    <w:multiLevelType w:val="hybridMultilevel"/>
    <w:tmpl w:val="1868B8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6097CE0"/>
    <w:multiLevelType w:val="hybridMultilevel"/>
    <w:tmpl w:val="009C9B96"/>
    <w:lvl w:ilvl="0" w:tplc="533CA900">
      <w:numFmt w:val="bullet"/>
      <w:lvlText w:val=""/>
      <w:lvlJc w:val="left"/>
      <w:pPr>
        <w:ind w:left="277" w:hanging="356"/>
      </w:pPr>
      <w:rPr>
        <w:w w:val="99"/>
        <w:lang w:val="en-US" w:eastAsia="en-US" w:bidi="ar-SA"/>
      </w:rPr>
    </w:lvl>
    <w:lvl w:ilvl="1" w:tplc="1092094A">
      <w:numFmt w:val="bullet"/>
      <w:lvlText w:val=""/>
      <w:lvlJc w:val="left"/>
      <w:pPr>
        <w:ind w:left="1666" w:hanging="356"/>
      </w:pPr>
      <w:rPr>
        <w:rFonts w:ascii="Wingdings" w:eastAsia="Wingdings" w:hAnsi="Wingdings" w:cs="Wingdings" w:hint="default"/>
        <w:color w:val="003781"/>
        <w:w w:val="100"/>
        <w:sz w:val="22"/>
        <w:szCs w:val="22"/>
        <w:lang w:val="en-US" w:eastAsia="en-US" w:bidi="ar-SA"/>
      </w:rPr>
    </w:lvl>
    <w:lvl w:ilvl="2" w:tplc="C428C184">
      <w:numFmt w:val="bullet"/>
      <w:lvlText w:val="•"/>
      <w:lvlJc w:val="left"/>
      <w:pPr>
        <w:ind w:left="1668" w:hanging="356"/>
      </w:pPr>
      <w:rPr>
        <w:lang w:val="en-US" w:eastAsia="en-US" w:bidi="ar-SA"/>
      </w:rPr>
    </w:lvl>
    <w:lvl w:ilvl="3" w:tplc="5FD28AEE">
      <w:numFmt w:val="bullet"/>
      <w:lvlText w:val="•"/>
      <w:lvlJc w:val="left"/>
      <w:pPr>
        <w:ind w:left="1813" w:hanging="356"/>
      </w:pPr>
      <w:rPr>
        <w:lang w:val="en-US" w:eastAsia="en-US" w:bidi="ar-SA"/>
      </w:rPr>
    </w:lvl>
    <w:lvl w:ilvl="4" w:tplc="3D14B7AC">
      <w:numFmt w:val="bullet"/>
      <w:lvlText w:val="•"/>
      <w:lvlJc w:val="left"/>
      <w:pPr>
        <w:ind w:left="1958" w:hanging="356"/>
      </w:pPr>
      <w:rPr>
        <w:lang w:val="en-US" w:eastAsia="en-US" w:bidi="ar-SA"/>
      </w:rPr>
    </w:lvl>
    <w:lvl w:ilvl="5" w:tplc="C6229BD6">
      <w:numFmt w:val="bullet"/>
      <w:lvlText w:val="•"/>
      <w:lvlJc w:val="left"/>
      <w:pPr>
        <w:ind w:left="2103" w:hanging="356"/>
      </w:pPr>
      <w:rPr>
        <w:lang w:val="en-US" w:eastAsia="en-US" w:bidi="ar-SA"/>
      </w:rPr>
    </w:lvl>
    <w:lvl w:ilvl="6" w:tplc="F1C266A2">
      <w:numFmt w:val="bullet"/>
      <w:lvlText w:val="•"/>
      <w:lvlJc w:val="left"/>
      <w:pPr>
        <w:ind w:left="2248" w:hanging="356"/>
      </w:pPr>
      <w:rPr>
        <w:lang w:val="en-US" w:eastAsia="en-US" w:bidi="ar-SA"/>
      </w:rPr>
    </w:lvl>
    <w:lvl w:ilvl="7" w:tplc="B6788F4E">
      <w:numFmt w:val="bullet"/>
      <w:lvlText w:val="•"/>
      <w:lvlJc w:val="left"/>
      <w:pPr>
        <w:ind w:left="2393" w:hanging="356"/>
      </w:pPr>
      <w:rPr>
        <w:lang w:val="en-US" w:eastAsia="en-US" w:bidi="ar-SA"/>
      </w:rPr>
    </w:lvl>
    <w:lvl w:ilvl="8" w:tplc="0A62A13E">
      <w:numFmt w:val="bullet"/>
      <w:lvlText w:val="•"/>
      <w:lvlJc w:val="left"/>
      <w:pPr>
        <w:ind w:left="2538" w:hanging="356"/>
      </w:pPr>
      <w:rPr>
        <w:lang w:val="en-US" w:eastAsia="en-US" w:bidi="ar-SA"/>
      </w:rPr>
    </w:lvl>
  </w:abstractNum>
  <w:abstractNum w:abstractNumId="9" w15:restartNumberingAfterBreak="0">
    <w:nsid w:val="4F7C2039"/>
    <w:multiLevelType w:val="hybridMultilevel"/>
    <w:tmpl w:val="A7584E7E"/>
    <w:lvl w:ilvl="0" w:tplc="437A2BF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205537"/>
    <w:multiLevelType w:val="hybridMultilevel"/>
    <w:tmpl w:val="CE9827E2"/>
    <w:lvl w:ilvl="0" w:tplc="ECEA5972">
      <w:start w:val="2023"/>
      <w:numFmt w:val="bullet"/>
      <w:lvlText w:val="-"/>
      <w:lvlJc w:val="left"/>
      <w:pPr>
        <w:ind w:left="720" w:hanging="360"/>
      </w:pPr>
      <w:rPr>
        <w:rFonts w:ascii="Calibri" w:eastAsia="Allianz Ne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434245"/>
    <w:multiLevelType w:val="multilevel"/>
    <w:tmpl w:val="30D2761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84678A"/>
    <w:multiLevelType w:val="hybridMultilevel"/>
    <w:tmpl w:val="70EA40BC"/>
    <w:lvl w:ilvl="0" w:tplc="04090001">
      <w:start w:val="1"/>
      <w:numFmt w:val="bullet"/>
      <w:lvlText w:val=""/>
      <w:lvlJc w:val="left"/>
      <w:pPr>
        <w:ind w:left="720" w:hanging="360"/>
      </w:pPr>
      <w:rPr>
        <w:rFonts w:ascii="Symbol" w:hAnsi="Symbol" w:hint="default"/>
      </w:rPr>
    </w:lvl>
    <w:lvl w:ilvl="1" w:tplc="9BF490C0">
      <w:numFmt w:val="bullet"/>
      <w:lvlText w:val="-"/>
      <w:lvlJc w:val="left"/>
      <w:pPr>
        <w:ind w:left="1440" w:hanging="360"/>
      </w:pPr>
      <w:rPr>
        <w:rFonts w:ascii="Calibri" w:eastAsia="Allianz Ne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98224A"/>
    <w:multiLevelType w:val="hybridMultilevel"/>
    <w:tmpl w:val="9B50E96E"/>
    <w:lvl w:ilvl="0" w:tplc="04070001">
      <w:start w:val="1"/>
      <w:numFmt w:val="bullet"/>
      <w:lvlText w:val=""/>
      <w:lvlJc w:val="left"/>
      <w:pPr>
        <w:ind w:left="720" w:hanging="360"/>
      </w:pPr>
      <w:rPr>
        <w:rFonts w:ascii="Symbol" w:hAnsi="Symbol" w:hint="default"/>
      </w:rPr>
    </w:lvl>
    <w:lvl w:ilvl="1" w:tplc="E702D110">
      <w:numFmt w:val="bullet"/>
      <w:lvlText w:val="-"/>
      <w:lvlJc w:val="left"/>
      <w:pPr>
        <w:ind w:left="1440" w:hanging="360"/>
      </w:pPr>
      <w:rPr>
        <w:rFonts w:ascii="Calibri" w:eastAsia="Allianz Ne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214573">
    <w:abstractNumId w:val="5"/>
  </w:num>
  <w:num w:numId="2" w16cid:durableId="1293057894">
    <w:abstractNumId w:val="7"/>
  </w:num>
  <w:num w:numId="3" w16cid:durableId="1109394389">
    <w:abstractNumId w:val="1"/>
  </w:num>
  <w:num w:numId="4" w16cid:durableId="93480354">
    <w:abstractNumId w:val="8"/>
  </w:num>
  <w:num w:numId="5" w16cid:durableId="1662003954">
    <w:abstractNumId w:val="4"/>
  </w:num>
  <w:num w:numId="6" w16cid:durableId="1212495768">
    <w:abstractNumId w:val="3"/>
  </w:num>
  <w:num w:numId="7" w16cid:durableId="557716096">
    <w:abstractNumId w:val="9"/>
  </w:num>
  <w:num w:numId="8" w16cid:durableId="183710305">
    <w:abstractNumId w:val="12"/>
  </w:num>
  <w:num w:numId="9" w16cid:durableId="1135374266">
    <w:abstractNumId w:val="2"/>
  </w:num>
  <w:num w:numId="10" w16cid:durableId="626932431">
    <w:abstractNumId w:val="11"/>
  </w:num>
  <w:num w:numId="11" w16cid:durableId="1550218741">
    <w:abstractNumId w:val="10"/>
  </w:num>
  <w:num w:numId="12" w16cid:durableId="1720519359">
    <w:abstractNumId w:val="13"/>
  </w:num>
  <w:num w:numId="13" w16cid:durableId="328220175">
    <w:abstractNumId w:val="0"/>
  </w:num>
  <w:num w:numId="14" w16cid:durableId="774986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373"/>
    <w:rsid w:val="00000320"/>
    <w:rsid w:val="000004DE"/>
    <w:rsid w:val="00001B3E"/>
    <w:rsid w:val="00001CB2"/>
    <w:rsid w:val="00002A8C"/>
    <w:rsid w:val="00003C3D"/>
    <w:rsid w:val="00004209"/>
    <w:rsid w:val="00004DAA"/>
    <w:rsid w:val="00006350"/>
    <w:rsid w:val="000109B8"/>
    <w:rsid w:val="0001301B"/>
    <w:rsid w:val="00014E5D"/>
    <w:rsid w:val="00020814"/>
    <w:rsid w:val="0002329D"/>
    <w:rsid w:val="00024F3A"/>
    <w:rsid w:val="00026646"/>
    <w:rsid w:val="00026AAF"/>
    <w:rsid w:val="000276D1"/>
    <w:rsid w:val="00032A39"/>
    <w:rsid w:val="00032F10"/>
    <w:rsid w:val="0003485B"/>
    <w:rsid w:val="00035DB6"/>
    <w:rsid w:val="00036293"/>
    <w:rsid w:val="00037DAE"/>
    <w:rsid w:val="00041110"/>
    <w:rsid w:val="00042C00"/>
    <w:rsid w:val="00045B0E"/>
    <w:rsid w:val="00045F9E"/>
    <w:rsid w:val="00046251"/>
    <w:rsid w:val="00050ED3"/>
    <w:rsid w:val="00051B08"/>
    <w:rsid w:val="0005290D"/>
    <w:rsid w:val="000600C1"/>
    <w:rsid w:val="00061C4E"/>
    <w:rsid w:val="00064C38"/>
    <w:rsid w:val="00064FAA"/>
    <w:rsid w:val="00065348"/>
    <w:rsid w:val="0006768C"/>
    <w:rsid w:val="00073460"/>
    <w:rsid w:val="000740F1"/>
    <w:rsid w:val="000813B4"/>
    <w:rsid w:val="0008262D"/>
    <w:rsid w:val="000827CB"/>
    <w:rsid w:val="00090823"/>
    <w:rsid w:val="00090DE2"/>
    <w:rsid w:val="00096DC9"/>
    <w:rsid w:val="0009719C"/>
    <w:rsid w:val="000978AE"/>
    <w:rsid w:val="000A0B00"/>
    <w:rsid w:val="000A2EEA"/>
    <w:rsid w:val="000A4FE6"/>
    <w:rsid w:val="000A60A1"/>
    <w:rsid w:val="000A680A"/>
    <w:rsid w:val="000A76AC"/>
    <w:rsid w:val="000A7D78"/>
    <w:rsid w:val="000A7DDB"/>
    <w:rsid w:val="000B0BEC"/>
    <w:rsid w:val="000B52A3"/>
    <w:rsid w:val="000B6C87"/>
    <w:rsid w:val="000B7AF4"/>
    <w:rsid w:val="000C040F"/>
    <w:rsid w:val="000C2369"/>
    <w:rsid w:val="000C366B"/>
    <w:rsid w:val="000C40B5"/>
    <w:rsid w:val="000C4487"/>
    <w:rsid w:val="000C47B4"/>
    <w:rsid w:val="000C55D0"/>
    <w:rsid w:val="000C6381"/>
    <w:rsid w:val="000C6D0B"/>
    <w:rsid w:val="000C71FF"/>
    <w:rsid w:val="000D0EE0"/>
    <w:rsid w:val="000D0F9C"/>
    <w:rsid w:val="000D1556"/>
    <w:rsid w:val="000D7716"/>
    <w:rsid w:val="000E2EBD"/>
    <w:rsid w:val="000E4490"/>
    <w:rsid w:val="000E4A69"/>
    <w:rsid w:val="000E558B"/>
    <w:rsid w:val="000E568E"/>
    <w:rsid w:val="000E663A"/>
    <w:rsid w:val="000F023C"/>
    <w:rsid w:val="000F0AFA"/>
    <w:rsid w:val="000F320A"/>
    <w:rsid w:val="000F38AA"/>
    <w:rsid w:val="000F5012"/>
    <w:rsid w:val="000F538F"/>
    <w:rsid w:val="00102808"/>
    <w:rsid w:val="0010286A"/>
    <w:rsid w:val="001030DE"/>
    <w:rsid w:val="001044B4"/>
    <w:rsid w:val="00104625"/>
    <w:rsid w:val="00104B0E"/>
    <w:rsid w:val="001072A0"/>
    <w:rsid w:val="00111692"/>
    <w:rsid w:val="001116D1"/>
    <w:rsid w:val="00113101"/>
    <w:rsid w:val="00114BE5"/>
    <w:rsid w:val="00114C26"/>
    <w:rsid w:val="00117508"/>
    <w:rsid w:val="00120B6E"/>
    <w:rsid w:val="00120D5E"/>
    <w:rsid w:val="00121BC3"/>
    <w:rsid w:val="00122874"/>
    <w:rsid w:val="00122EEA"/>
    <w:rsid w:val="0012397F"/>
    <w:rsid w:val="001251D1"/>
    <w:rsid w:val="001265EE"/>
    <w:rsid w:val="0012693F"/>
    <w:rsid w:val="00131823"/>
    <w:rsid w:val="00131A88"/>
    <w:rsid w:val="001372C0"/>
    <w:rsid w:val="00140D98"/>
    <w:rsid w:val="00142B50"/>
    <w:rsid w:val="001433D1"/>
    <w:rsid w:val="001504C1"/>
    <w:rsid w:val="001518B1"/>
    <w:rsid w:val="00152E54"/>
    <w:rsid w:val="00152E62"/>
    <w:rsid w:val="00153102"/>
    <w:rsid w:val="00153A33"/>
    <w:rsid w:val="00153F8F"/>
    <w:rsid w:val="00157529"/>
    <w:rsid w:val="001578FF"/>
    <w:rsid w:val="00161E3B"/>
    <w:rsid w:val="00163725"/>
    <w:rsid w:val="00164E64"/>
    <w:rsid w:val="00165FFC"/>
    <w:rsid w:val="001672D9"/>
    <w:rsid w:val="0016786A"/>
    <w:rsid w:val="00172FF7"/>
    <w:rsid w:val="0017474A"/>
    <w:rsid w:val="00175E08"/>
    <w:rsid w:val="00176511"/>
    <w:rsid w:val="001767AB"/>
    <w:rsid w:val="0018201F"/>
    <w:rsid w:val="0018335D"/>
    <w:rsid w:val="00184373"/>
    <w:rsid w:val="001846F4"/>
    <w:rsid w:val="00185A6F"/>
    <w:rsid w:val="00185FD6"/>
    <w:rsid w:val="001874B9"/>
    <w:rsid w:val="00190DBD"/>
    <w:rsid w:val="0019178D"/>
    <w:rsid w:val="00195F17"/>
    <w:rsid w:val="001970FB"/>
    <w:rsid w:val="00197248"/>
    <w:rsid w:val="0019799A"/>
    <w:rsid w:val="0019799B"/>
    <w:rsid w:val="00197C85"/>
    <w:rsid w:val="00197E33"/>
    <w:rsid w:val="001A10E1"/>
    <w:rsid w:val="001A46A9"/>
    <w:rsid w:val="001A4A98"/>
    <w:rsid w:val="001B09F8"/>
    <w:rsid w:val="001B2E60"/>
    <w:rsid w:val="001B335C"/>
    <w:rsid w:val="001B3AFD"/>
    <w:rsid w:val="001B7B42"/>
    <w:rsid w:val="001C05F5"/>
    <w:rsid w:val="001C0E89"/>
    <w:rsid w:val="001C3970"/>
    <w:rsid w:val="001C6CF0"/>
    <w:rsid w:val="001D0FD0"/>
    <w:rsid w:val="001D149A"/>
    <w:rsid w:val="001D2527"/>
    <w:rsid w:val="001D2EAF"/>
    <w:rsid w:val="001D3AC9"/>
    <w:rsid w:val="001D41FE"/>
    <w:rsid w:val="001D73CA"/>
    <w:rsid w:val="001E07D5"/>
    <w:rsid w:val="001E287E"/>
    <w:rsid w:val="001E2A7C"/>
    <w:rsid w:val="001E337C"/>
    <w:rsid w:val="001E33AA"/>
    <w:rsid w:val="001E46BE"/>
    <w:rsid w:val="001E6A94"/>
    <w:rsid w:val="001E746E"/>
    <w:rsid w:val="001F01A7"/>
    <w:rsid w:val="001F07C3"/>
    <w:rsid w:val="001F0990"/>
    <w:rsid w:val="001F1D67"/>
    <w:rsid w:val="001F331D"/>
    <w:rsid w:val="001F49FC"/>
    <w:rsid w:val="00201BAA"/>
    <w:rsid w:val="0020208B"/>
    <w:rsid w:val="00206E8F"/>
    <w:rsid w:val="00211578"/>
    <w:rsid w:val="00211EDF"/>
    <w:rsid w:val="00212B39"/>
    <w:rsid w:val="00213752"/>
    <w:rsid w:val="00213A31"/>
    <w:rsid w:val="00213B62"/>
    <w:rsid w:val="00215045"/>
    <w:rsid w:val="002212EB"/>
    <w:rsid w:val="0022301F"/>
    <w:rsid w:val="00223812"/>
    <w:rsid w:val="00224DA4"/>
    <w:rsid w:val="00226459"/>
    <w:rsid w:val="00232DA3"/>
    <w:rsid w:val="00232E65"/>
    <w:rsid w:val="00233927"/>
    <w:rsid w:val="00234054"/>
    <w:rsid w:val="002352AA"/>
    <w:rsid w:val="00236C4A"/>
    <w:rsid w:val="00237383"/>
    <w:rsid w:val="00243512"/>
    <w:rsid w:val="00245A01"/>
    <w:rsid w:val="00246AD2"/>
    <w:rsid w:val="002477D2"/>
    <w:rsid w:val="00247DD6"/>
    <w:rsid w:val="00250693"/>
    <w:rsid w:val="0025076A"/>
    <w:rsid w:val="00250F74"/>
    <w:rsid w:val="00253E37"/>
    <w:rsid w:val="002541B0"/>
    <w:rsid w:val="00254507"/>
    <w:rsid w:val="002553E0"/>
    <w:rsid w:val="00256FFE"/>
    <w:rsid w:val="0025717F"/>
    <w:rsid w:val="002578D4"/>
    <w:rsid w:val="00261018"/>
    <w:rsid w:val="002616B6"/>
    <w:rsid w:val="00263A97"/>
    <w:rsid w:val="00264E1E"/>
    <w:rsid w:val="0027072B"/>
    <w:rsid w:val="0027098D"/>
    <w:rsid w:val="002710F2"/>
    <w:rsid w:val="002813CF"/>
    <w:rsid w:val="0028240D"/>
    <w:rsid w:val="002831C4"/>
    <w:rsid w:val="00283DCB"/>
    <w:rsid w:val="00284526"/>
    <w:rsid w:val="002859BB"/>
    <w:rsid w:val="00290BB6"/>
    <w:rsid w:val="00291231"/>
    <w:rsid w:val="002922BD"/>
    <w:rsid w:val="0029290E"/>
    <w:rsid w:val="00292F0A"/>
    <w:rsid w:val="00293E42"/>
    <w:rsid w:val="002959E6"/>
    <w:rsid w:val="00296247"/>
    <w:rsid w:val="00296FCE"/>
    <w:rsid w:val="00297CD0"/>
    <w:rsid w:val="002A0A01"/>
    <w:rsid w:val="002A11B4"/>
    <w:rsid w:val="002A31E2"/>
    <w:rsid w:val="002A3CDF"/>
    <w:rsid w:val="002A404A"/>
    <w:rsid w:val="002A48C4"/>
    <w:rsid w:val="002A585A"/>
    <w:rsid w:val="002A6D6C"/>
    <w:rsid w:val="002A7439"/>
    <w:rsid w:val="002A7F00"/>
    <w:rsid w:val="002B2716"/>
    <w:rsid w:val="002B3D92"/>
    <w:rsid w:val="002B4A29"/>
    <w:rsid w:val="002B69BE"/>
    <w:rsid w:val="002B7D2D"/>
    <w:rsid w:val="002C147C"/>
    <w:rsid w:val="002C19C1"/>
    <w:rsid w:val="002C410B"/>
    <w:rsid w:val="002C7491"/>
    <w:rsid w:val="002D160B"/>
    <w:rsid w:val="002D17C1"/>
    <w:rsid w:val="002D3850"/>
    <w:rsid w:val="002D473F"/>
    <w:rsid w:val="002D595B"/>
    <w:rsid w:val="002D70A5"/>
    <w:rsid w:val="002D77E3"/>
    <w:rsid w:val="002E0E46"/>
    <w:rsid w:val="002E3E97"/>
    <w:rsid w:val="002E4127"/>
    <w:rsid w:val="002E4913"/>
    <w:rsid w:val="002E5DE0"/>
    <w:rsid w:val="002E6047"/>
    <w:rsid w:val="002E6D6C"/>
    <w:rsid w:val="002E6F9D"/>
    <w:rsid w:val="002E705C"/>
    <w:rsid w:val="002E782D"/>
    <w:rsid w:val="002E7D56"/>
    <w:rsid w:val="002E7FE3"/>
    <w:rsid w:val="002F1357"/>
    <w:rsid w:val="002F2174"/>
    <w:rsid w:val="002F3AAC"/>
    <w:rsid w:val="002F4176"/>
    <w:rsid w:val="002F4CDD"/>
    <w:rsid w:val="00301197"/>
    <w:rsid w:val="0030131D"/>
    <w:rsid w:val="00302BA9"/>
    <w:rsid w:val="0030424C"/>
    <w:rsid w:val="00306F6E"/>
    <w:rsid w:val="00307316"/>
    <w:rsid w:val="00307D49"/>
    <w:rsid w:val="00312C4A"/>
    <w:rsid w:val="00313DC8"/>
    <w:rsid w:val="00317F42"/>
    <w:rsid w:val="00322A71"/>
    <w:rsid w:val="00324032"/>
    <w:rsid w:val="00325E3A"/>
    <w:rsid w:val="003261FA"/>
    <w:rsid w:val="00326225"/>
    <w:rsid w:val="00326365"/>
    <w:rsid w:val="0032645B"/>
    <w:rsid w:val="003313B9"/>
    <w:rsid w:val="0033151F"/>
    <w:rsid w:val="00331964"/>
    <w:rsid w:val="0033374B"/>
    <w:rsid w:val="0033394F"/>
    <w:rsid w:val="00333BAA"/>
    <w:rsid w:val="003365BB"/>
    <w:rsid w:val="00337143"/>
    <w:rsid w:val="00345B4A"/>
    <w:rsid w:val="0034711F"/>
    <w:rsid w:val="00350633"/>
    <w:rsid w:val="0035329B"/>
    <w:rsid w:val="003536EB"/>
    <w:rsid w:val="00354D04"/>
    <w:rsid w:val="00356372"/>
    <w:rsid w:val="00356843"/>
    <w:rsid w:val="0036047C"/>
    <w:rsid w:val="00363B11"/>
    <w:rsid w:val="00365483"/>
    <w:rsid w:val="00365FA6"/>
    <w:rsid w:val="00367FF7"/>
    <w:rsid w:val="00370AF1"/>
    <w:rsid w:val="0037105A"/>
    <w:rsid w:val="003721A1"/>
    <w:rsid w:val="00375242"/>
    <w:rsid w:val="003773DE"/>
    <w:rsid w:val="003809E7"/>
    <w:rsid w:val="00382324"/>
    <w:rsid w:val="00385423"/>
    <w:rsid w:val="00392391"/>
    <w:rsid w:val="00393C3E"/>
    <w:rsid w:val="00396532"/>
    <w:rsid w:val="00397D34"/>
    <w:rsid w:val="003A0254"/>
    <w:rsid w:val="003A0BB0"/>
    <w:rsid w:val="003A6636"/>
    <w:rsid w:val="003B1BA9"/>
    <w:rsid w:val="003B2C7A"/>
    <w:rsid w:val="003B3439"/>
    <w:rsid w:val="003B46CD"/>
    <w:rsid w:val="003B475C"/>
    <w:rsid w:val="003B4A28"/>
    <w:rsid w:val="003B7023"/>
    <w:rsid w:val="003C0D35"/>
    <w:rsid w:val="003C0E0B"/>
    <w:rsid w:val="003C1B05"/>
    <w:rsid w:val="003C230D"/>
    <w:rsid w:val="003C2568"/>
    <w:rsid w:val="003C2C97"/>
    <w:rsid w:val="003C3D1A"/>
    <w:rsid w:val="003C4095"/>
    <w:rsid w:val="003C6EBF"/>
    <w:rsid w:val="003C6F84"/>
    <w:rsid w:val="003C74A2"/>
    <w:rsid w:val="003D08A3"/>
    <w:rsid w:val="003D0B02"/>
    <w:rsid w:val="003D41A1"/>
    <w:rsid w:val="003D644C"/>
    <w:rsid w:val="003D6C04"/>
    <w:rsid w:val="003E04E6"/>
    <w:rsid w:val="003E0A79"/>
    <w:rsid w:val="003E5C7A"/>
    <w:rsid w:val="003E6005"/>
    <w:rsid w:val="003F1494"/>
    <w:rsid w:val="003F35F6"/>
    <w:rsid w:val="003F3FB0"/>
    <w:rsid w:val="003F4858"/>
    <w:rsid w:val="003F56B0"/>
    <w:rsid w:val="003F6F3E"/>
    <w:rsid w:val="003F75B2"/>
    <w:rsid w:val="003F7B8B"/>
    <w:rsid w:val="003F7FA7"/>
    <w:rsid w:val="00401443"/>
    <w:rsid w:val="0040535F"/>
    <w:rsid w:val="00406918"/>
    <w:rsid w:val="00407DF4"/>
    <w:rsid w:val="00410136"/>
    <w:rsid w:val="004102DD"/>
    <w:rsid w:val="004109C4"/>
    <w:rsid w:val="004138E3"/>
    <w:rsid w:val="00414642"/>
    <w:rsid w:val="004204A1"/>
    <w:rsid w:val="00420917"/>
    <w:rsid w:val="004214D6"/>
    <w:rsid w:val="00421989"/>
    <w:rsid w:val="00422EA7"/>
    <w:rsid w:val="00424F42"/>
    <w:rsid w:val="00425CAB"/>
    <w:rsid w:val="0043205D"/>
    <w:rsid w:val="004330F2"/>
    <w:rsid w:val="004339D5"/>
    <w:rsid w:val="004341BA"/>
    <w:rsid w:val="004345C7"/>
    <w:rsid w:val="0043502E"/>
    <w:rsid w:val="004358A8"/>
    <w:rsid w:val="00440CA9"/>
    <w:rsid w:val="0044323B"/>
    <w:rsid w:val="00444F0B"/>
    <w:rsid w:val="0044556B"/>
    <w:rsid w:val="00445993"/>
    <w:rsid w:val="00446550"/>
    <w:rsid w:val="00447A91"/>
    <w:rsid w:val="004611E5"/>
    <w:rsid w:val="0046481C"/>
    <w:rsid w:val="00467B6B"/>
    <w:rsid w:val="00470AB1"/>
    <w:rsid w:val="004714EC"/>
    <w:rsid w:val="004726D1"/>
    <w:rsid w:val="004739A9"/>
    <w:rsid w:val="00474E9A"/>
    <w:rsid w:val="004751B3"/>
    <w:rsid w:val="00475F87"/>
    <w:rsid w:val="00477B18"/>
    <w:rsid w:val="00477BDD"/>
    <w:rsid w:val="00481227"/>
    <w:rsid w:val="00481F40"/>
    <w:rsid w:val="0048445C"/>
    <w:rsid w:val="00485C2A"/>
    <w:rsid w:val="00486B5D"/>
    <w:rsid w:val="0048734C"/>
    <w:rsid w:val="0049346D"/>
    <w:rsid w:val="00494830"/>
    <w:rsid w:val="00495428"/>
    <w:rsid w:val="00497210"/>
    <w:rsid w:val="004A019C"/>
    <w:rsid w:val="004A1047"/>
    <w:rsid w:val="004A4630"/>
    <w:rsid w:val="004A47DC"/>
    <w:rsid w:val="004A4890"/>
    <w:rsid w:val="004A6688"/>
    <w:rsid w:val="004A68F1"/>
    <w:rsid w:val="004A70DC"/>
    <w:rsid w:val="004A7EC6"/>
    <w:rsid w:val="004B0D6F"/>
    <w:rsid w:val="004B2D40"/>
    <w:rsid w:val="004B335A"/>
    <w:rsid w:val="004B3A7C"/>
    <w:rsid w:val="004B5A91"/>
    <w:rsid w:val="004B5FB3"/>
    <w:rsid w:val="004B775C"/>
    <w:rsid w:val="004B7FAF"/>
    <w:rsid w:val="004C0951"/>
    <w:rsid w:val="004C11E8"/>
    <w:rsid w:val="004C129E"/>
    <w:rsid w:val="004C12BA"/>
    <w:rsid w:val="004C7D58"/>
    <w:rsid w:val="004D0758"/>
    <w:rsid w:val="004D09B7"/>
    <w:rsid w:val="004D1F29"/>
    <w:rsid w:val="004D37DC"/>
    <w:rsid w:val="004D3D05"/>
    <w:rsid w:val="004D4DA0"/>
    <w:rsid w:val="004D66B0"/>
    <w:rsid w:val="004D7CF4"/>
    <w:rsid w:val="004E128B"/>
    <w:rsid w:val="004E1522"/>
    <w:rsid w:val="004E3164"/>
    <w:rsid w:val="004E3178"/>
    <w:rsid w:val="004E5D00"/>
    <w:rsid w:val="004E62FB"/>
    <w:rsid w:val="004F0CD2"/>
    <w:rsid w:val="004F7416"/>
    <w:rsid w:val="0050402B"/>
    <w:rsid w:val="00506C1D"/>
    <w:rsid w:val="00507C83"/>
    <w:rsid w:val="0051002D"/>
    <w:rsid w:val="0051100D"/>
    <w:rsid w:val="005126A8"/>
    <w:rsid w:val="005138AE"/>
    <w:rsid w:val="0051468E"/>
    <w:rsid w:val="00514817"/>
    <w:rsid w:val="00514A77"/>
    <w:rsid w:val="00515719"/>
    <w:rsid w:val="00515EDD"/>
    <w:rsid w:val="005161A0"/>
    <w:rsid w:val="00516784"/>
    <w:rsid w:val="005215DF"/>
    <w:rsid w:val="00521F60"/>
    <w:rsid w:val="0052385C"/>
    <w:rsid w:val="00524633"/>
    <w:rsid w:val="00526BBE"/>
    <w:rsid w:val="00526E97"/>
    <w:rsid w:val="00530DCC"/>
    <w:rsid w:val="00533BBF"/>
    <w:rsid w:val="005341EA"/>
    <w:rsid w:val="0053551F"/>
    <w:rsid w:val="00541714"/>
    <w:rsid w:val="0054281B"/>
    <w:rsid w:val="00545B0D"/>
    <w:rsid w:val="005464BE"/>
    <w:rsid w:val="00547AAD"/>
    <w:rsid w:val="00550EE3"/>
    <w:rsid w:val="00551BCE"/>
    <w:rsid w:val="00552746"/>
    <w:rsid w:val="00554787"/>
    <w:rsid w:val="00555948"/>
    <w:rsid w:val="00555FBD"/>
    <w:rsid w:val="0056097F"/>
    <w:rsid w:val="00560A7A"/>
    <w:rsid w:val="0056222F"/>
    <w:rsid w:val="00562907"/>
    <w:rsid w:val="00563F15"/>
    <w:rsid w:val="00564776"/>
    <w:rsid w:val="00564E76"/>
    <w:rsid w:val="005653CD"/>
    <w:rsid w:val="0056762D"/>
    <w:rsid w:val="0057188B"/>
    <w:rsid w:val="00573A34"/>
    <w:rsid w:val="00574FAD"/>
    <w:rsid w:val="0057503B"/>
    <w:rsid w:val="00576731"/>
    <w:rsid w:val="005768F2"/>
    <w:rsid w:val="00576F62"/>
    <w:rsid w:val="00577256"/>
    <w:rsid w:val="0058232A"/>
    <w:rsid w:val="005845E1"/>
    <w:rsid w:val="00584C32"/>
    <w:rsid w:val="00587E55"/>
    <w:rsid w:val="0059070B"/>
    <w:rsid w:val="00590AA1"/>
    <w:rsid w:val="00594D96"/>
    <w:rsid w:val="00596BA1"/>
    <w:rsid w:val="00597CF5"/>
    <w:rsid w:val="005A051C"/>
    <w:rsid w:val="005A3CD9"/>
    <w:rsid w:val="005A5C69"/>
    <w:rsid w:val="005A6D2A"/>
    <w:rsid w:val="005B2DEB"/>
    <w:rsid w:val="005B57BA"/>
    <w:rsid w:val="005B5C0D"/>
    <w:rsid w:val="005B6EA0"/>
    <w:rsid w:val="005C1B50"/>
    <w:rsid w:val="005C29E6"/>
    <w:rsid w:val="005C47A7"/>
    <w:rsid w:val="005C5092"/>
    <w:rsid w:val="005D0A3E"/>
    <w:rsid w:val="005D1256"/>
    <w:rsid w:val="005D37B0"/>
    <w:rsid w:val="005E0008"/>
    <w:rsid w:val="005E35A0"/>
    <w:rsid w:val="005E3B30"/>
    <w:rsid w:val="005E5B2F"/>
    <w:rsid w:val="005E5DB8"/>
    <w:rsid w:val="005E7409"/>
    <w:rsid w:val="005F13F3"/>
    <w:rsid w:val="005F33B4"/>
    <w:rsid w:val="005F3520"/>
    <w:rsid w:val="005F4F17"/>
    <w:rsid w:val="005F6693"/>
    <w:rsid w:val="005F684F"/>
    <w:rsid w:val="00600828"/>
    <w:rsid w:val="00603D52"/>
    <w:rsid w:val="006045FF"/>
    <w:rsid w:val="00604EA3"/>
    <w:rsid w:val="00606F72"/>
    <w:rsid w:val="00611144"/>
    <w:rsid w:val="00613B38"/>
    <w:rsid w:val="00614BF5"/>
    <w:rsid w:val="006178F6"/>
    <w:rsid w:val="00617B30"/>
    <w:rsid w:val="00621613"/>
    <w:rsid w:val="006221A8"/>
    <w:rsid w:val="00623FCB"/>
    <w:rsid w:val="0062624A"/>
    <w:rsid w:val="00627233"/>
    <w:rsid w:val="0062745F"/>
    <w:rsid w:val="006316DA"/>
    <w:rsid w:val="00635513"/>
    <w:rsid w:val="00637ED5"/>
    <w:rsid w:val="00642112"/>
    <w:rsid w:val="006443C9"/>
    <w:rsid w:val="006447D7"/>
    <w:rsid w:val="00644DE2"/>
    <w:rsid w:val="00645AF0"/>
    <w:rsid w:val="00650726"/>
    <w:rsid w:val="00650D41"/>
    <w:rsid w:val="00654771"/>
    <w:rsid w:val="00655CE4"/>
    <w:rsid w:val="00657569"/>
    <w:rsid w:val="006575C4"/>
    <w:rsid w:val="00660DC4"/>
    <w:rsid w:val="0066322D"/>
    <w:rsid w:val="0066414C"/>
    <w:rsid w:val="006651F3"/>
    <w:rsid w:val="00667032"/>
    <w:rsid w:val="00670C28"/>
    <w:rsid w:val="0067285F"/>
    <w:rsid w:val="006742B9"/>
    <w:rsid w:val="006779DF"/>
    <w:rsid w:val="00680C9B"/>
    <w:rsid w:val="006838AA"/>
    <w:rsid w:val="00683F52"/>
    <w:rsid w:val="006859D0"/>
    <w:rsid w:val="00686858"/>
    <w:rsid w:val="00687239"/>
    <w:rsid w:val="00687E7C"/>
    <w:rsid w:val="00690FE8"/>
    <w:rsid w:val="00692A6C"/>
    <w:rsid w:val="00694130"/>
    <w:rsid w:val="00695319"/>
    <w:rsid w:val="00695841"/>
    <w:rsid w:val="006A16E4"/>
    <w:rsid w:val="006A1D45"/>
    <w:rsid w:val="006A39EB"/>
    <w:rsid w:val="006A51D4"/>
    <w:rsid w:val="006A5EC3"/>
    <w:rsid w:val="006B32DA"/>
    <w:rsid w:val="006B6275"/>
    <w:rsid w:val="006B7E18"/>
    <w:rsid w:val="006C1240"/>
    <w:rsid w:val="006C2A01"/>
    <w:rsid w:val="006C3C09"/>
    <w:rsid w:val="006C6CC9"/>
    <w:rsid w:val="006D2F05"/>
    <w:rsid w:val="006D37DD"/>
    <w:rsid w:val="006D391C"/>
    <w:rsid w:val="006D48A2"/>
    <w:rsid w:val="006E09F3"/>
    <w:rsid w:val="006E0CC6"/>
    <w:rsid w:val="006E39DF"/>
    <w:rsid w:val="006E45BB"/>
    <w:rsid w:val="006F0491"/>
    <w:rsid w:val="006F0FE4"/>
    <w:rsid w:val="006F1039"/>
    <w:rsid w:val="006F10FD"/>
    <w:rsid w:val="006F35BC"/>
    <w:rsid w:val="006F631F"/>
    <w:rsid w:val="006F73B9"/>
    <w:rsid w:val="00700EBD"/>
    <w:rsid w:val="00703201"/>
    <w:rsid w:val="00703483"/>
    <w:rsid w:val="00703986"/>
    <w:rsid w:val="00705982"/>
    <w:rsid w:val="00705E65"/>
    <w:rsid w:val="00705EFD"/>
    <w:rsid w:val="00712DD6"/>
    <w:rsid w:val="007130E0"/>
    <w:rsid w:val="00714706"/>
    <w:rsid w:val="007154BC"/>
    <w:rsid w:val="007165CF"/>
    <w:rsid w:val="00720954"/>
    <w:rsid w:val="00721B57"/>
    <w:rsid w:val="00721E63"/>
    <w:rsid w:val="00723AA4"/>
    <w:rsid w:val="00724754"/>
    <w:rsid w:val="00727A1E"/>
    <w:rsid w:val="0073318B"/>
    <w:rsid w:val="007336FD"/>
    <w:rsid w:val="0073538C"/>
    <w:rsid w:val="007359A6"/>
    <w:rsid w:val="00735F80"/>
    <w:rsid w:val="0073784B"/>
    <w:rsid w:val="0074205B"/>
    <w:rsid w:val="00743970"/>
    <w:rsid w:val="00743ABB"/>
    <w:rsid w:val="0074408D"/>
    <w:rsid w:val="00744D2A"/>
    <w:rsid w:val="007460F6"/>
    <w:rsid w:val="00746415"/>
    <w:rsid w:val="00747A83"/>
    <w:rsid w:val="00750668"/>
    <w:rsid w:val="007512EC"/>
    <w:rsid w:val="007516A2"/>
    <w:rsid w:val="007536CC"/>
    <w:rsid w:val="0075597A"/>
    <w:rsid w:val="00756369"/>
    <w:rsid w:val="00757BC2"/>
    <w:rsid w:val="00760057"/>
    <w:rsid w:val="00762A87"/>
    <w:rsid w:val="00765121"/>
    <w:rsid w:val="00767868"/>
    <w:rsid w:val="00767904"/>
    <w:rsid w:val="00771771"/>
    <w:rsid w:val="00771A60"/>
    <w:rsid w:val="00771F11"/>
    <w:rsid w:val="007725F2"/>
    <w:rsid w:val="00774ED0"/>
    <w:rsid w:val="0077630C"/>
    <w:rsid w:val="0078147E"/>
    <w:rsid w:val="00782810"/>
    <w:rsid w:val="00782D49"/>
    <w:rsid w:val="00785267"/>
    <w:rsid w:val="007945B3"/>
    <w:rsid w:val="007945D2"/>
    <w:rsid w:val="0079586E"/>
    <w:rsid w:val="0079799E"/>
    <w:rsid w:val="007A1213"/>
    <w:rsid w:val="007A1A2C"/>
    <w:rsid w:val="007A2F0F"/>
    <w:rsid w:val="007A34F4"/>
    <w:rsid w:val="007A4BBA"/>
    <w:rsid w:val="007A560B"/>
    <w:rsid w:val="007A5F25"/>
    <w:rsid w:val="007B1AFE"/>
    <w:rsid w:val="007B235C"/>
    <w:rsid w:val="007B3954"/>
    <w:rsid w:val="007B3C82"/>
    <w:rsid w:val="007B406C"/>
    <w:rsid w:val="007B67B6"/>
    <w:rsid w:val="007C1394"/>
    <w:rsid w:val="007C30EE"/>
    <w:rsid w:val="007C3408"/>
    <w:rsid w:val="007C56A0"/>
    <w:rsid w:val="007C6749"/>
    <w:rsid w:val="007C694D"/>
    <w:rsid w:val="007C7D03"/>
    <w:rsid w:val="007D3D0E"/>
    <w:rsid w:val="007D4B02"/>
    <w:rsid w:val="007D522E"/>
    <w:rsid w:val="007D5344"/>
    <w:rsid w:val="007D591E"/>
    <w:rsid w:val="007D59CA"/>
    <w:rsid w:val="007D787E"/>
    <w:rsid w:val="007E0270"/>
    <w:rsid w:val="007E0442"/>
    <w:rsid w:val="007E28C7"/>
    <w:rsid w:val="007E49DE"/>
    <w:rsid w:val="007F1917"/>
    <w:rsid w:val="007F27D6"/>
    <w:rsid w:val="007F288E"/>
    <w:rsid w:val="007F5FDD"/>
    <w:rsid w:val="007F7246"/>
    <w:rsid w:val="007F7B3F"/>
    <w:rsid w:val="008051CF"/>
    <w:rsid w:val="00811C33"/>
    <w:rsid w:val="00813707"/>
    <w:rsid w:val="00813CED"/>
    <w:rsid w:val="00813D07"/>
    <w:rsid w:val="00814C1B"/>
    <w:rsid w:val="00814C87"/>
    <w:rsid w:val="008232ED"/>
    <w:rsid w:val="008243B9"/>
    <w:rsid w:val="00827D43"/>
    <w:rsid w:val="00827E2F"/>
    <w:rsid w:val="008302CB"/>
    <w:rsid w:val="00830448"/>
    <w:rsid w:val="008312F4"/>
    <w:rsid w:val="00840FAB"/>
    <w:rsid w:val="0084264D"/>
    <w:rsid w:val="008460B0"/>
    <w:rsid w:val="00850548"/>
    <w:rsid w:val="00851931"/>
    <w:rsid w:val="00852324"/>
    <w:rsid w:val="008549A5"/>
    <w:rsid w:val="00860D70"/>
    <w:rsid w:val="00861873"/>
    <w:rsid w:val="00861915"/>
    <w:rsid w:val="0086711B"/>
    <w:rsid w:val="0086790D"/>
    <w:rsid w:val="00870286"/>
    <w:rsid w:val="008708A6"/>
    <w:rsid w:val="008726D4"/>
    <w:rsid w:val="00872709"/>
    <w:rsid w:val="00872D3D"/>
    <w:rsid w:val="00872DE5"/>
    <w:rsid w:val="008775F6"/>
    <w:rsid w:val="0088016F"/>
    <w:rsid w:val="0088024E"/>
    <w:rsid w:val="00882CDB"/>
    <w:rsid w:val="00885758"/>
    <w:rsid w:val="00886E15"/>
    <w:rsid w:val="00890069"/>
    <w:rsid w:val="0089015E"/>
    <w:rsid w:val="00890846"/>
    <w:rsid w:val="00891D50"/>
    <w:rsid w:val="008927C7"/>
    <w:rsid w:val="00892BA1"/>
    <w:rsid w:val="0089349C"/>
    <w:rsid w:val="008975CD"/>
    <w:rsid w:val="00897D32"/>
    <w:rsid w:val="008A2825"/>
    <w:rsid w:val="008A4E82"/>
    <w:rsid w:val="008A5A43"/>
    <w:rsid w:val="008A638B"/>
    <w:rsid w:val="008B06E2"/>
    <w:rsid w:val="008B1F07"/>
    <w:rsid w:val="008B2FA4"/>
    <w:rsid w:val="008B4398"/>
    <w:rsid w:val="008B4F0E"/>
    <w:rsid w:val="008B75A4"/>
    <w:rsid w:val="008C0ADF"/>
    <w:rsid w:val="008C0F2E"/>
    <w:rsid w:val="008C1318"/>
    <w:rsid w:val="008C1F21"/>
    <w:rsid w:val="008C3C57"/>
    <w:rsid w:val="008C4DDF"/>
    <w:rsid w:val="008C5BE4"/>
    <w:rsid w:val="008C5D46"/>
    <w:rsid w:val="008C7499"/>
    <w:rsid w:val="008C7814"/>
    <w:rsid w:val="008D1F37"/>
    <w:rsid w:val="008D7C0B"/>
    <w:rsid w:val="008E11A1"/>
    <w:rsid w:val="008E229A"/>
    <w:rsid w:val="008E46B6"/>
    <w:rsid w:val="008E49D1"/>
    <w:rsid w:val="008E66EC"/>
    <w:rsid w:val="008E6BE5"/>
    <w:rsid w:val="008E7C35"/>
    <w:rsid w:val="008F03ED"/>
    <w:rsid w:val="008F0A7D"/>
    <w:rsid w:val="008F37A7"/>
    <w:rsid w:val="008F4534"/>
    <w:rsid w:val="008F538B"/>
    <w:rsid w:val="0090004D"/>
    <w:rsid w:val="00901211"/>
    <w:rsid w:val="009025DF"/>
    <w:rsid w:val="00902632"/>
    <w:rsid w:val="009041FC"/>
    <w:rsid w:val="00904282"/>
    <w:rsid w:val="00912B23"/>
    <w:rsid w:val="00913494"/>
    <w:rsid w:val="009136F3"/>
    <w:rsid w:val="009143DB"/>
    <w:rsid w:val="00916E4D"/>
    <w:rsid w:val="00920747"/>
    <w:rsid w:val="00921989"/>
    <w:rsid w:val="00921B98"/>
    <w:rsid w:val="00922B21"/>
    <w:rsid w:val="00922E7C"/>
    <w:rsid w:val="00924A15"/>
    <w:rsid w:val="00925364"/>
    <w:rsid w:val="00926B95"/>
    <w:rsid w:val="0092728C"/>
    <w:rsid w:val="009272D7"/>
    <w:rsid w:val="009309DA"/>
    <w:rsid w:val="00930A9C"/>
    <w:rsid w:val="009327FD"/>
    <w:rsid w:val="0093321D"/>
    <w:rsid w:val="00935955"/>
    <w:rsid w:val="00943AE8"/>
    <w:rsid w:val="00944F37"/>
    <w:rsid w:val="00951D44"/>
    <w:rsid w:val="00952E81"/>
    <w:rsid w:val="0095421B"/>
    <w:rsid w:val="009542FB"/>
    <w:rsid w:val="00954C00"/>
    <w:rsid w:val="00957FD5"/>
    <w:rsid w:val="00965C4F"/>
    <w:rsid w:val="009671FF"/>
    <w:rsid w:val="0097002A"/>
    <w:rsid w:val="00970A4E"/>
    <w:rsid w:val="00976E44"/>
    <w:rsid w:val="00977388"/>
    <w:rsid w:val="009807EB"/>
    <w:rsid w:val="00981C04"/>
    <w:rsid w:val="00983086"/>
    <w:rsid w:val="00990284"/>
    <w:rsid w:val="00990915"/>
    <w:rsid w:val="009911DA"/>
    <w:rsid w:val="0099131F"/>
    <w:rsid w:val="0099273D"/>
    <w:rsid w:val="00994701"/>
    <w:rsid w:val="00994C6A"/>
    <w:rsid w:val="00994FF8"/>
    <w:rsid w:val="0099703D"/>
    <w:rsid w:val="00997926"/>
    <w:rsid w:val="009A1A58"/>
    <w:rsid w:val="009A1A8E"/>
    <w:rsid w:val="009A21CC"/>
    <w:rsid w:val="009A2760"/>
    <w:rsid w:val="009A31A1"/>
    <w:rsid w:val="009A5F04"/>
    <w:rsid w:val="009A5F75"/>
    <w:rsid w:val="009A6CB7"/>
    <w:rsid w:val="009A77FF"/>
    <w:rsid w:val="009B22FF"/>
    <w:rsid w:val="009B2F41"/>
    <w:rsid w:val="009B3659"/>
    <w:rsid w:val="009B3D53"/>
    <w:rsid w:val="009B5084"/>
    <w:rsid w:val="009B5E6A"/>
    <w:rsid w:val="009B62B6"/>
    <w:rsid w:val="009B771A"/>
    <w:rsid w:val="009B7E60"/>
    <w:rsid w:val="009C1B9C"/>
    <w:rsid w:val="009C21A3"/>
    <w:rsid w:val="009C24B4"/>
    <w:rsid w:val="009C5AA9"/>
    <w:rsid w:val="009C5F76"/>
    <w:rsid w:val="009D13C0"/>
    <w:rsid w:val="009D23E0"/>
    <w:rsid w:val="009D2C34"/>
    <w:rsid w:val="009D4040"/>
    <w:rsid w:val="009D5B04"/>
    <w:rsid w:val="009D629B"/>
    <w:rsid w:val="009E0BE2"/>
    <w:rsid w:val="009E287C"/>
    <w:rsid w:val="009E4716"/>
    <w:rsid w:val="009E6D35"/>
    <w:rsid w:val="009E7EF0"/>
    <w:rsid w:val="009F09CA"/>
    <w:rsid w:val="009F17D3"/>
    <w:rsid w:val="009F4C13"/>
    <w:rsid w:val="00A00763"/>
    <w:rsid w:val="00A00BEF"/>
    <w:rsid w:val="00A01D85"/>
    <w:rsid w:val="00A032B6"/>
    <w:rsid w:val="00A0544E"/>
    <w:rsid w:val="00A0592C"/>
    <w:rsid w:val="00A07294"/>
    <w:rsid w:val="00A07845"/>
    <w:rsid w:val="00A07EB6"/>
    <w:rsid w:val="00A10A98"/>
    <w:rsid w:val="00A21920"/>
    <w:rsid w:val="00A246AA"/>
    <w:rsid w:val="00A2672C"/>
    <w:rsid w:val="00A26C18"/>
    <w:rsid w:val="00A2745C"/>
    <w:rsid w:val="00A279D2"/>
    <w:rsid w:val="00A27A99"/>
    <w:rsid w:val="00A27CA1"/>
    <w:rsid w:val="00A306DF"/>
    <w:rsid w:val="00A30F6A"/>
    <w:rsid w:val="00A32B68"/>
    <w:rsid w:val="00A348DC"/>
    <w:rsid w:val="00A35157"/>
    <w:rsid w:val="00A373E6"/>
    <w:rsid w:val="00A40479"/>
    <w:rsid w:val="00A405B9"/>
    <w:rsid w:val="00A410AE"/>
    <w:rsid w:val="00A423FE"/>
    <w:rsid w:val="00A4323D"/>
    <w:rsid w:val="00A4372D"/>
    <w:rsid w:val="00A4435C"/>
    <w:rsid w:val="00A45D20"/>
    <w:rsid w:val="00A46A50"/>
    <w:rsid w:val="00A46D97"/>
    <w:rsid w:val="00A473BF"/>
    <w:rsid w:val="00A50396"/>
    <w:rsid w:val="00A50E85"/>
    <w:rsid w:val="00A53B65"/>
    <w:rsid w:val="00A54375"/>
    <w:rsid w:val="00A54E59"/>
    <w:rsid w:val="00A56B94"/>
    <w:rsid w:val="00A57577"/>
    <w:rsid w:val="00A62718"/>
    <w:rsid w:val="00A638EE"/>
    <w:rsid w:val="00A65322"/>
    <w:rsid w:val="00A66BE0"/>
    <w:rsid w:val="00A67332"/>
    <w:rsid w:val="00A673BA"/>
    <w:rsid w:val="00A67C11"/>
    <w:rsid w:val="00A7008E"/>
    <w:rsid w:val="00A702F8"/>
    <w:rsid w:val="00A70E55"/>
    <w:rsid w:val="00A71AEC"/>
    <w:rsid w:val="00A758E6"/>
    <w:rsid w:val="00A75BE4"/>
    <w:rsid w:val="00A77004"/>
    <w:rsid w:val="00A803D1"/>
    <w:rsid w:val="00A844B2"/>
    <w:rsid w:val="00A84805"/>
    <w:rsid w:val="00A90D1A"/>
    <w:rsid w:val="00A9303C"/>
    <w:rsid w:val="00A93CFB"/>
    <w:rsid w:val="00A93E7C"/>
    <w:rsid w:val="00A93F32"/>
    <w:rsid w:val="00A94040"/>
    <w:rsid w:val="00A95062"/>
    <w:rsid w:val="00A9691E"/>
    <w:rsid w:val="00A97F94"/>
    <w:rsid w:val="00AA29A7"/>
    <w:rsid w:val="00AA2E31"/>
    <w:rsid w:val="00AA3594"/>
    <w:rsid w:val="00AA3A96"/>
    <w:rsid w:val="00AA678F"/>
    <w:rsid w:val="00AA6CFD"/>
    <w:rsid w:val="00AB08C4"/>
    <w:rsid w:val="00AB144F"/>
    <w:rsid w:val="00AB2766"/>
    <w:rsid w:val="00AB3B03"/>
    <w:rsid w:val="00AB5AB3"/>
    <w:rsid w:val="00AC2079"/>
    <w:rsid w:val="00AC24E1"/>
    <w:rsid w:val="00AC363E"/>
    <w:rsid w:val="00AC5D45"/>
    <w:rsid w:val="00AC6026"/>
    <w:rsid w:val="00AC668D"/>
    <w:rsid w:val="00AC6B12"/>
    <w:rsid w:val="00AC7286"/>
    <w:rsid w:val="00AD1455"/>
    <w:rsid w:val="00AD17B3"/>
    <w:rsid w:val="00AD27C3"/>
    <w:rsid w:val="00AD3E7C"/>
    <w:rsid w:val="00AD5576"/>
    <w:rsid w:val="00AD6713"/>
    <w:rsid w:val="00AD6EF2"/>
    <w:rsid w:val="00AE08C9"/>
    <w:rsid w:val="00AE2B7E"/>
    <w:rsid w:val="00AE3A4F"/>
    <w:rsid w:val="00AE3EE4"/>
    <w:rsid w:val="00AE4A69"/>
    <w:rsid w:val="00AE67B3"/>
    <w:rsid w:val="00AE6E21"/>
    <w:rsid w:val="00AE76CE"/>
    <w:rsid w:val="00AF3514"/>
    <w:rsid w:val="00AF3E40"/>
    <w:rsid w:val="00AF410F"/>
    <w:rsid w:val="00AF56CD"/>
    <w:rsid w:val="00AF6294"/>
    <w:rsid w:val="00B0055F"/>
    <w:rsid w:val="00B00605"/>
    <w:rsid w:val="00B0071E"/>
    <w:rsid w:val="00B039D9"/>
    <w:rsid w:val="00B04603"/>
    <w:rsid w:val="00B1393B"/>
    <w:rsid w:val="00B16166"/>
    <w:rsid w:val="00B17EBD"/>
    <w:rsid w:val="00B21A5F"/>
    <w:rsid w:val="00B225DC"/>
    <w:rsid w:val="00B23877"/>
    <w:rsid w:val="00B24092"/>
    <w:rsid w:val="00B32732"/>
    <w:rsid w:val="00B345D2"/>
    <w:rsid w:val="00B350EF"/>
    <w:rsid w:val="00B37739"/>
    <w:rsid w:val="00B37B5D"/>
    <w:rsid w:val="00B40737"/>
    <w:rsid w:val="00B4124E"/>
    <w:rsid w:val="00B419B1"/>
    <w:rsid w:val="00B4463D"/>
    <w:rsid w:val="00B46086"/>
    <w:rsid w:val="00B466A7"/>
    <w:rsid w:val="00B5065D"/>
    <w:rsid w:val="00B50AB0"/>
    <w:rsid w:val="00B50D75"/>
    <w:rsid w:val="00B50FC4"/>
    <w:rsid w:val="00B5208B"/>
    <w:rsid w:val="00B5256C"/>
    <w:rsid w:val="00B5337B"/>
    <w:rsid w:val="00B5428C"/>
    <w:rsid w:val="00B61CE9"/>
    <w:rsid w:val="00B65C46"/>
    <w:rsid w:val="00B6622F"/>
    <w:rsid w:val="00B67CFD"/>
    <w:rsid w:val="00B73E69"/>
    <w:rsid w:val="00B74075"/>
    <w:rsid w:val="00B746F6"/>
    <w:rsid w:val="00B8158A"/>
    <w:rsid w:val="00B8329B"/>
    <w:rsid w:val="00B832E5"/>
    <w:rsid w:val="00B84745"/>
    <w:rsid w:val="00B908B5"/>
    <w:rsid w:val="00B920DD"/>
    <w:rsid w:val="00B929C2"/>
    <w:rsid w:val="00B94691"/>
    <w:rsid w:val="00B97459"/>
    <w:rsid w:val="00BA017E"/>
    <w:rsid w:val="00BA3DD1"/>
    <w:rsid w:val="00BA5494"/>
    <w:rsid w:val="00BA6C78"/>
    <w:rsid w:val="00BA7618"/>
    <w:rsid w:val="00BB2204"/>
    <w:rsid w:val="00BC3A37"/>
    <w:rsid w:val="00BC755B"/>
    <w:rsid w:val="00BD1E9C"/>
    <w:rsid w:val="00BD51F4"/>
    <w:rsid w:val="00BD6281"/>
    <w:rsid w:val="00BD694C"/>
    <w:rsid w:val="00BD6F79"/>
    <w:rsid w:val="00BD702D"/>
    <w:rsid w:val="00BE1952"/>
    <w:rsid w:val="00BE2697"/>
    <w:rsid w:val="00BE3B2D"/>
    <w:rsid w:val="00BE5CBF"/>
    <w:rsid w:val="00BF074F"/>
    <w:rsid w:val="00BF2E13"/>
    <w:rsid w:val="00BF3006"/>
    <w:rsid w:val="00BF563E"/>
    <w:rsid w:val="00C013ED"/>
    <w:rsid w:val="00C0385B"/>
    <w:rsid w:val="00C041E0"/>
    <w:rsid w:val="00C04433"/>
    <w:rsid w:val="00C05749"/>
    <w:rsid w:val="00C06691"/>
    <w:rsid w:val="00C073BB"/>
    <w:rsid w:val="00C07DA2"/>
    <w:rsid w:val="00C15CF3"/>
    <w:rsid w:val="00C167B0"/>
    <w:rsid w:val="00C220A5"/>
    <w:rsid w:val="00C24733"/>
    <w:rsid w:val="00C247C3"/>
    <w:rsid w:val="00C261A3"/>
    <w:rsid w:val="00C26CF7"/>
    <w:rsid w:val="00C26CFA"/>
    <w:rsid w:val="00C31849"/>
    <w:rsid w:val="00C31A07"/>
    <w:rsid w:val="00C403DE"/>
    <w:rsid w:val="00C4260D"/>
    <w:rsid w:val="00C43019"/>
    <w:rsid w:val="00C435E1"/>
    <w:rsid w:val="00C43AAA"/>
    <w:rsid w:val="00C4446E"/>
    <w:rsid w:val="00C44489"/>
    <w:rsid w:val="00C451C4"/>
    <w:rsid w:val="00C46EFF"/>
    <w:rsid w:val="00C4724C"/>
    <w:rsid w:val="00C47F0B"/>
    <w:rsid w:val="00C50B02"/>
    <w:rsid w:val="00C53503"/>
    <w:rsid w:val="00C53828"/>
    <w:rsid w:val="00C55B66"/>
    <w:rsid w:val="00C56954"/>
    <w:rsid w:val="00C56FAD"/>
    <w:rsid w:val="00C6011C"/>
    <w:rsid w:val="00C60918"/>
    <w:rsid w:val="00C61373"/>
    <w:rsid w:val="00C61738"/>
    <w:rsid w:val="00C6247C"/>
    <w:rsid w:val="00C65CB9"/>
    <w:rsid w:val="00C664D1"/>
    <w:rsid w:val="00C67872"/>
    <w:rsid w:val="00C718AB"/>
    <w:rsid w:val="00C736BA"/>
    <w:rsid w:val="00C7424D"/>
    <w:rsid w:val="00C74D5F"/>
    <w:rsid w:val="00C75488"/>
    <w:rsid w:val="00C762D4"/>
    <w:rsid w:val="00C777D7"/>
    <w:rsid w:val="00C81489"/>
    <w:rsid w:val="00C82EB7"/>
    <w:rsid w:val="00C8468F"/>
    <w:rsid w:val="00C8470C"/>
    <w:rsid w:val="00C86840"/>
    <w:rsid w:val="00C87C75"/>
    <w:rsid w:val="00C9344F"/>
    <w:rsid w:val="00C97F1C"/>
    <w:rsid w:val="00CA08F4"/>
    <w:rsid w:val="00CA0BE6"/>
    <w:rsid w:val="00CA1021"/>
    <w:rsid w:val="00CA1707"/>
    <w:rsid w:val="00CA189F"/>
    <w:rsid w:val="00CA4DCE"/>
    <w:rsid w:val="00CB1C62"/>
    <w:rsid w:val="00CB21AB"/>
    <w:rsid w:val="00CB51AC"/>
    <w:rsid w:val="00CB51AD"/>
    <w:rsid w:val="00CB5840"/>
    <w:rsid w:val="00CC0780"/>
    <w:rsid w:val="00CC09D3"/>
    <w:rsid w:val="00CC1384"/>
    <w:rsid w:val="00CC386F"/>
    <w:rsid w:val="00CC39D0"/>
    <w:rsid w:val="00CC3E36"/>
    <w:rsid w:val="00CC4D48"/>
    <w:rsid w:val="00CC5D5E"/>
    <w:rsid w:val="00CC5DC5"/>
    <w:rsid w:val="00CC7444"/>
    <w:rsid w:val="00CC7FF2"/>
    <w:rsid w:val="00CD1E94"/>
    <w:rsid w:val="00CD2302"/>
    <w:rsid w:val="00CD2409"/>
    <w:rsid w:val="00CD2E08"/>
    <w:rsid w:val="00CD4DB4"/>
    <w:rsid w:val="00CD61AE"/>
    <w:rsid w:val="00CD6811"/>
    <w:rsid w:val="00CD6E69"/>
    <w:rsid w:val="00CE0002"/>
    <w:rsid w:val="00CE01D9"/>
    <w:rsid w:val="00CE1161"/>
    <w:rsid w:val="00CE28A9"/>
    <w:rsid w:val="00CE3375"/>
    <w:rsid w:val="00CE3AA1"/>
    <w:rsid w:val="00CE4410"/>
    <w:rsid w:val="00CE4F66"/>
    <w:rsid w:val="00CF0996"/>
    <w:rsid w:val="00CF17CA"/>
    <w:rsid w:val="00CF17D8"/>
    <w:rsid w:val="00CF1E61"/>
    <w:rsid w:val="00CF25CB"/>
    <w:rsid w:val="00CF2B4A"/>
    <w:rsid w:val="00CF6260"/>
    <w:rsid w:val="00CF6D1B"/>
    <w:rsid w:val="00D0358C"/>
    <w:rsid w:val="00D03ED8"/>
    <w:rsid w:val="00D04F50"/>
    <w:rsid w:val="00D05D15"/>
    <w:rsid w:val="00D06B6E"/>
    <w:rsid w:val="00D109D2"/>
    <w:rsid w:val="00D138E6"/>
    <w:rsid w:val="00D14411"/>
    <w:rsid w:val="00D16A67"/>
    <w:rsid w:val="00D22746"/>
    <w:rsid w:val="00D24013"/>
    <w:rsid w:val="00D24F7A"/>
    <w:rsid w:val="00D25838"/>
    <w:rsid w:val="00D258F3"/>
    <w:rsid w:val="00D30065"/>
    <w:rsid w:val="00D33497"/>
    <w:rsid w:val="00D3362A"/>
    <w:rsid w:val="00D35839"/>
    <w:rsid w:val="00D35EC4"/>
    <w:rsid w:val="00D374F6"/>
    <w:rsid w:val="00D417D0"/>
    <w:rsid w:val="00D41E0D"/>
    <w:rsid w:val="00D41E55"/>
    <w:rsid w:val="00D434F0"/>
    <w:rsid w:val="00D43D5D"/>
    <w:rsid w:val="00D43DA9"/>
    <w:rsid w:val="00D4546D"/>
    <w:rsid w:val="00D45E35"/>
    <w:rsid w:val="00D4637F"/>
    <w:rsid w:val="00D4680E"/>
    <w:rsid w:val="00D50898"/>
    <w:rsid w:val="00D5132B"/>
    <w:rsid w:val="00D513A7"/>
    <w:rsid w:val="00D516BF"/>
    <w:rsid w:val="00D51E84"/>
    <w:rsid w:val="00D56C96"/>
    <w:rsid w:val="00D573FA"/>
    <w:rsid w:val="00D60F64"/>
    <w:rsid w:val="00D61730"/>
    <w:rsid w:val="00D648D1"/>
    <w:rsid w:val="00D67707"/>
    <w:rsid w:val="00D701A6"/>
    <w:rsid w:val="00D72F58"/>
    <w:rsid w:val="00D731FA"/>
    <w:rsid w:val="00D74624"/>
    <w:rsid w:val="00D74DA0"/>
    <w:rsid w:val="00D75545"/>
    <w:rsid w:val="00D76C3B"/>
    <w:rsid w:val="00D76F09"/>
    <w:rsid w:val="00D80209"/>
    <w:rsid w:val="00D81FC8"/>
    <w:rsid w:val="00D83347"/>
    <w:rsid w:val="00D856FA"/>
    <w:rsid w:val="00D87688"/>
    <w:rsid w:val="00D9543B"/>
    <w:rsid w:val="00D9576C"/>
    <w:rsid w:val="00D97BF2"/>
    <w:rsid w:val="00DA1108"/>
    <w:rsid w:val="00DA5887"/>
    <w:rsid w:val="00DA7511"/>
    <w:rsid w:val="00DA7548"/>
    <w:rsid w:val="00DA794B"/>
    <w:rsid w:val="00DA7CD7"/>
    <w:rsid w:val="00DB0E6E"/>
    <w:rsid w:val="00DB19A6"/>
    <w:rsid w:val="00DB1F3E"/>
    <w:rsid w:val="00DB227E"/>
    <w:rsid w:val="00DB5B72"/>
    <w:rsid w:val="00DB5EAF"/>
    <w:rsid w:val="00DB6FA8"/>
    <w:rsid w:val="00DC07D2"/>
    <w:rsid w:val="00DD1A2F"/>
    <w:rsid w:val="00DD2B70"/>
    <w:rsid w:val="00DD2CA5"/>
    <w:rsid w:val="00DD303A"/>
    <w:rsid w:val="00DD5835"/>
    <w:rsid w:val="00DD7510"/>
    <w:rsid w:val="00DE13F5"/>
    <w:rsid w:val="00DE2B7C"/>
    <w:rsid w:val="00DE2BD2"/>
    <w:rsid w:val="00DE30C2"/>
    <w:rsid w:val="00DE4485"/>
    <w:rsid w:val="00DE4D23"/>
    <w:rsid w:val="00DE53C4"/>
    <w:rsid w:val="00DE6A87"/>
    <w:rsid w:val="00DF095B"/>
    <w:rsid w:val="00DF0E2F"/>
    <w:rsid w:val="00DF1BCC"/>
    <w:rsid w:val="00DF1FAC"/>
    <w:rsid w:val="00DF429D"/>
    <w:rsid w:val="00DF4868"/>
    <w:rsid w:val="00DF5549"/>
    <w:rsid w:val="00DF5834"/>
    <w:rsid w:val="00E0026A"/>
    <w:rsid w:val="00E02E37"/>
    <w:rsid w:val="00E03633"/>
    <w:rsid w:val="00E0554B"/>
    <w:rsid w:val="00E05E96"/>
    <w:rsid w:val="00E077A5"/>
    <w:rsid w:val="00E105D4"/>
    <w:rsid w:val="00E1154A"/>
    <w:rsid w:val="00E11A3F"/>
    <w:rsid w:val="00E12D11"/>
    <w:rsid w:val="00E12ECB"/>
    <w:rsid w:val="00E16B54"/>
    <w:rsid w:val="00E23CE6"/>
    <w:rsid w:val="00E242DB"/>
    <w:rsid w:val="00E25536"/>
    <w:rsid w:val="00E25538"/>
    <w:rsid w:val="00E25832"/>
    <w:rsid w:val="00E3053B"/>
    <w:rsid w:val="00E3280C"/>
    <w:rsid w:val="00E3385C"/>
    <w:rsid w:val="00E35636"/>
    <w:rsid w:val="00E358DC"/>
    <w:rsid w:val="00E379C5"/>
    <w:rsid w:val="00E4754E"/>
    <w:rsid w:val="00E5042D"/>
    <w:rsid w:val="00E50C68"/>
    <w:rsid w:val="00E523D6"/>
    <w:rsid w:val="00E52D5C"/>
    <w:rsid w:val="00E54296"/>
    <w:rsid w:val="00E55CC9"/>
    <w:rsid w:val="00E606A0"/>
    <w:rsid w:val="00E65A32"/>
    <w:rsid w:val="00E673F1"/>
    <w:rsid w:val="00E7001D"/>
    <w:rsid w:val="00E70281"/>
    <w:rsid w:val="00E703AE"/>
    <w:rsid w:val="00E72C74"/>
    <w:rsid w:val="00E75B94"/>
    <w:rsid w:val="00E767DA"/>
    <w:rsid w:val="00E76BC0"/>
    <w:rsid w:val="00E76E18"/>
    <w:rsid w:val="00E81531"/>
    <w:rsid w:val="00E86957"/>
    <w:rsid w:val="00E87170"/>
    <w:rsid w:val="00E901A6"/>
    <w:rsid w:val="00E909F8"/>
    <w:rsid w:val="00E91131"/>
    <w:rsid w:val="00E91776"/>
    <w:rsid w:val="00E91A49"/>
    <w:rsid w:val="00E937ED"/>
    <w:rsid w:val="00E9389D"/>
    <w:rsid w:val="00E93B41"/>
    <w:rsid w:val="00E96143"/>
    <w:rsid w:val="00E96DFF"/>
    <w:rsid w:val="00EA1E03"/>
    <w:rsid w:val="00EA5463"/>
    <w:rsid w:val="00EB09CA"/>
    <w:rsid w:val="00EB1AB8"/>
    <w:rsid w:val="00EB3D85"/>
    <w:rsid w:val="00EB49B9"/>
    <w:rsid w:val="00EB5CF1"/>
    <w:rsid w:val="00EB64EB"/>
    <w:rsid w:val="00EB776C"/>
    <w:rsid w:val="00EB7C9B"/>
    <w:rsid w:val="00EC0214"/>
    <w:rsid w:val="00EC1430"/>
    <w:rsid w:val="00EC2ABC"/>
    <w:rsid w:val="00EC4474"/>
    <w:rsid w:val="00EC4CF7"/>
    <w:rsid w:val="00EC6D32"/>
    <w:rsid w:val="00EC7248"/>
    <w:rsid w:val="00ED02F9"/>
    <w:rsid w:val="00ED108C"/>
    <w:rsid w:val="00ED234A"/>
    <w:rsid w:val="00ED270E"/>
    <w:rsid w:val="00ED28E7"/>
    <w:rsid w:val="00ED3C44"/>
    <w:rsid w:val="00ED3D2F"/>
    <w:rsid w:val="00ED3D6D"/>
    <w:rsid w:val="00ED54D9"/>
    <w:rsid w:val="00ED685F"/>
    <w:rsid w:val="00EE21FA"/>
    <w:rsid w:val="00EE2678"/>
    <w:rsid w:val="00EE2C3C"/>
    <w:rsid w:val="00EE2EA8"/>
    <w:rsid w:val="00EE32EE"/>
    <w:rsid w:val="00EE3D0B"/>
    <w:rsid w:val="00EE40C3"/>
    <w:rsid w:val="00EE64B2"/>
    <w:rsid w:val="00EF17F3"/>
    <w:rsid w:val="00F02F88"/>
    <w:rsid w:val="00F0368F"/>
    <w:rsid w:val="00F04841"/>
    <w:rsid w:val="00F10403"/>
    <w:rsid w:val="00F10FBD"/>
    <w:rsid w:val="00F126AD"/>
    <w:rsid w:val="00F15923"/>
    <w:rsid w:val="00F164E3"/>
    <w:rsid w:val="00F20156"/>
    <w:rsid w:val="00F21E84"/>
    <w:rsid w:val="00F250BA"/>
    <w:rsid w:val="00F258C9"/>
    <w:rsid w:val="00F26FE9"/>
    <w:rsid w:val="00F270A0"/>
    <w:rsid w:val="00F33D18"/>
    <w:rsid w:val="00F34121"/>
    <w:rsid w:val="00F37F22"/>
    <w:rsid w:val="00F40E68"/>
    <w:rsid w:val="00F42527"/>
    <w:rsid w:val="00F426BD"/>
    <w:rsid w:val="00F4286F"/>
    <w:rsid w:val="00F43ECE"/>
    <w:rsid w:val="00F44816"/>
    <w:rsid w:val="00F45D23"/>
    <w:rsid w:val="00F5032B"/>
    <w:rsid w:val="00F505E1"/>
    <w:rsid w:val="00F51062"/>
    <w:rsid w:val="00F5173C"/>
    <w:rsid w:val="00F522BE"/>
    <w:rsid w:val="00F600C6"/>
    <w:rsid w:val="00F62874"/>
    <w:rsid w:val="00F62D50"/>
    <w:rsid w:val="00F66DB3"/>
    <w:rsid w:val="00F676EF"/>
    <w:rsid w:val="00F7516A"/>
    <w:rsid w:val="00F751DE"/>
    <w:rsid w:val="00F758C2"/>
    <w:rsid w:val="00F7649D"/>
    <w:rsid w:val="00F76EC8"/>
    <w:rsid w:val="00F81292"/>
    <w:rsid w:val="00F81887"/>
    <w:rsid w:val="00F81D23"/>
    <w:rsid w:val="00F82257"/>
    <w:rsid w:val="00F84689"/>
    <w:rsid w:val="00F8468B"/>
    <w:rsid w:val="00F87917"/>
    <w:rsid w:val="00F87A55"/>
    <w:rsid w:val="00F924D2"/>
    <w:rsid w:val="00F924DC"/>
    <w:rsid w:val="00F925CF"/>
    <w:rsid w:val="00F932A4"/>
    <w:rsid w:val="00F94307"/>
    <w:rsid w:val="00F947E3"/>
    <w:rsid w:val="00F97683"/>
    <w:rsid w:val="00FA1DE3"/>
    <w:rsid w:val="00FA346A"/>
    <w:rsid w:val="00FA3A2A"/>
    <w:rsid w:val="00FA499D"/>
    <w:rsid w:val="00FA4BB0"/>
    <w:rsid w:val="00FA640B"/>
    <w:rsid w:val="00FA6717"/>
    <w:rsid w:val="00FB50FF"/>
    <w:rsid w:val="00FB5410"/>
    <w:rsid w:val="00FB564B"/>
    <w:rsid w:val="00FB564D"/>
    <w:rsid w:val="00FB6819"/>
    <w:rsid w:val="00FB7703"/>
    <w:rsid w:val="00FC0FE8"/>
    <w:rsid w:val="00FC153E"/>
    <w:rsid w:val="00FC24B1"/>
    <w:rsid w:val="00FC292E"/>
    <w:rsid w:val="00FC29B1"/>
    <w:rsid w:val="00FC30E4"/>
    <w:rsid w:val="00FC393D"/>
    <w:rsid w:val="00FC4C7B"/>
    <w:rsid w:val="00FC59B7"/>
    <w:rsid w:val="00FC5EC8"/>
    <w:rsid w:val="00FC6C14"/>
    <w:rsid w:val="00FC70F4"/>
    <w:rsid w:val="00FD0A91"/>
    <w:rsid w:val="00FD2273"/>
    <w:rsid w:val="00FD6AE1"/>
    <w:rsid w:val="00FD77CD"/>
    <w:rsid w:val="00FE0733"/>
    <w:rsid w:val="00FE1B2A"/>
    <w:rsid w:val="00FE2EF6"/>
    <w:rsid w:val="00FE3CE1"/>
    <w:rsid w:val="00FE6074"/>
    <w:rsid w:val="00FE735A"/>
    <w:rsid w:val="00FE7E59"/>
    <w:rsid w:val="00FF0D52"/>
    <w:rsid w:val="00FF115D"/>
    <w:rsid w:val="00FF132D"/>
    <w:rsid w:val="00FF1D80"/>
    <w:rsid w:val="00FF1DD1"/>
    <w:rsid w:val="00FF331C"/>
    <w:rsid w:val="00FF3D41"/>
    <w:rsid w:val="00FF4093"/>
    <w:rsid w:val="00FF42B2"/>
    <w:rsid w:val="00FF4528"/>
    <w:rsid w:val="00FF47C5"/>
    <w:rsid w:val="00FF5115"/>
    <w:rsid w:val="00FF61B1"/>
    <w:rsid w:val="00FF744B"/>
    <w:rsid w:val="00FF7C9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8638D"/>
  <w15:docId w15:val="{42972F42-E372-4723-9FEE-182B9613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6026"/>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6026"/>
    <w:rPr>
      <w:u w:val="single"/>
    </w:rPr>
  </w:style>
  <w:style w:type="paragraph" w:styleId="Footer">
    <w:name w:val="footer"/>
    <w:link w:val="FooterChar"/>
    <w:uiPriority w:val="99"/>
    <w:rsid w:val="00AC6026"/>
    <w:pPr>
      <w:pBdr>
        <w:top w:val="nil"/>
        <w:left w:val="nil"/>
        <w:bottom w:val="nil"/>
        <w:right w:val="nil"/>
        <w:between w:val="nil"/>
        <w:bar w:val="nil"/>
      </w:pBdr>
      <w:tabs>
        <w:tab w:val="center" w:pos="4536"/>
        <w:tab w:val="right" w:pos="9072"/>
      </w:tabs>
      <w:spacing w:after="0" w:line="240" w:lineRule="auto"/>
    </w:pPr>
    <w:rPr>
      <w:rFonts w:ascii="Arial" w:eastAsia="Arial Unicode MS" w:hAnsi="Arial" w:cs="Arial Unicode MS"/>
      <w:color w:val="000000"/>
      <w:u w:color="000000"/>
      <w:bdr w:val="nil"/>
      <w:lang w:val="de-DE"/>
    </w:rPr>
  </w:style>
  <w:style w:type="character" w:customStyle="1" w:styleId="FooterChar">
    <w:name w:val="Footer Char"/>
    <w:basedOn w:val="DefaultParagraphFont"/>
    <w:link w:val="Footer"/>
    <w:uiPriority w:val="99"/>
    <w:rsid w:val="00AC6026"/>
    <w:rPr>
      <w:rFonts w:ascii="Arial" w:eastAsia="Arial Unicode MS" w:hAnsi="Arial" w:cs="Arial Unicode MS"/>
      <w:color w:val="000000"/>
      <w:u w:color="000000"/>
      <w:bdr w:val="nil"/>
      <w:lang w:val="de-DE"/>
    </w:rPr>
  </w:style>
  <w:style w:type="paragraph" w:styleId="Header">
    <w:name w:val="header"/>
    <w:aliases w:val="AZ-P Header"/>
    <w:link w:val="HeaderChar"/>
    <w:uiPriority w:val="99"/>
    <w:rsid w:val="00AC6026"/>
    <w:pPr>
      <w:pBdr>
        <w:top w:val="nil"/>
        <w:left w:val="nil"/>
        <w:bottom w:val="nil"/>
        <w:right w:val="nil"/>
        <w:between w:val="nil"/>
        <w:bar w:val="nil"/>
      </w:pBdr>
      <w:tabs>
        <w:tab w:val="center" w:pos="4536"/>
        <w:tab w:val="right" w:pos="9072"/>
      </w:tabs>
      <w:spacing w:after="0" w:line="240" w:lineRule="auto"/>
    </w:pPr>
    <w:rPr>
      <w:rFonts w:ascii="Arial" w:eastAsia="Arial" w:hAnsi="Arial" w:cs="Arial"/>
      <w:color w:val="000000"/>
      <w:u w:color="000000"/>
      <w:bdr w:val="nil"/>
      <w:lang w:val="de-DE"/>
    </w:rPr>
  </w:style>
  <w:style w:type="character" w:customStyle="1" w:styleId="HeaderChar">
    <w:name w:val="Header Char"/>
    <w:aliases w:val="AZ-P Header Char"/>
    <w:basedOn w:val="DefaultParagraphFont"/>
    <w:link w:val="Header"/>
    <w:uiPriority w:val="99"/>
    <w:rsid w:val="00AC6026"/>
    <w:rPr>
      <w:rFonts w:ascii="Arial" w:eastAsia="Arial" w:hAnsi="Arial" w:cs="Arial"/>
      <w:color w:val="000000"/>
      <w:u w:color="000000"/>
      <w:bdr w:val="nil"/>
      <w:lang w:val="de-DE"/>
    </w:rPr>
  </w:style>
  <w:style w:type="character" w:styleId="PageNumber">
    <w:name w:val="page number"/>
    <w:rsid w:val="00AC6026"/>
  </w:style>
  <w:style w:type="paragraph" w:customStyle="1" w:styleId="Arial14">
    <w:name w:val="Arial 14"/>
    <w:rsid w:val="00AC6026"/>
    <w:pPr>
      <w:pBdr>
        <w:top w:val="nil"/>
        <w:left w:val="nil"/>
        <w:bottom w:val="nil"/>
        <w:right w:val="nil"/>
        <w:between w:val="nil"/>
        <w:bar w:val="nil"/>
      </w:pBdr>
      <w:spacing w:after="0" w:line="240" w:lineRule="auto"/>
    </w:pPr>
    <w:rPr>
      <w:rFonts w:ascii="Arial" w:eastAsia="Arial Unicode MS" w:hAnsi="Arial" w:cs="Arial Unicode MS"/>
      <w:color w:val="000000"/>
      <w:sz w:val="28"/>
      <w:szCs w:val="28"/>
      <w:u w:color="000000"/>
      <w:bdr w:val="nil"/>
      <w:lang w:val="de-DE"/>
    </w:rPr>
  </w:style>
  <w:style w:type="paragraph" w:customStyle="1" w:styleId="berschrift1PM">
    <w:name w:val="Überschrift 1 PM"/>
    <w:rsid w:val="00AC6026"/>
    <w:pPr>
      <w:keepNext/>
      <w:pBdr>
        <w:top w:val="nil"/>
        <w:left w:val="nil"/>
        <w:bottom w:val="nil"/>
        <w:right w:val="nil"/>
        <w:between w:val="nil"/>
        <w:bar w:val="nil"/>
      </w:pBdr>
      <w:spacing w:after="450" w:line="240" w:lineRule="auto"/>
      <w:outlineLvl w:val="0"/>
    </w:pPr>
    <w:rPr>
      <w:rFonts w:ascii="Arial" w:eastAsia="Arial Unicode MS" w:hAnsi="Arial" w:cs="Arial Unicode MS"/>
      <w:color w:val="000000"/>
      <w:kern w:val="32"/>
      <w:sz w:val="48"/>
      <w:szCs w:val="48"/>
      <w:u w:color="000000"/>
      <w:bdr w:val="nil"/>
      <w:lang w:val="de-DE"/>
    </w:rPr>
  </w:style>
  <w:style w:type="paragraph" w:customStyle="1" w:styleId="berschrift2PM">
    <w:name w:val="Überschrift 2 PM"/>
    <w:rsid w:val="00AC6026"/>
    <w:pPr>
      <w:keepNext/>
      <w:pBdr>
        <w:top w:val="nil"/>
        <w:left w:val="nil"/>
        <w:bottom w:val="nil"/>
        <w:right w:val="nil"/>
        <w:between w:val="nil"/>
        <w:bar w:val="nil"/>
      </w:pBdr>
      <w:spacing w:after="270" w:line="240" w:lineRule="auto"/>
      <w:outlineLvl w:val="1"/>
    </w:pPr>
    <w:rPr>
      <w:rFonts w:ascii="Arial" w:eastAsia="Arial Unicode MS" w:hAnsi="Arial" w:cs="Arial Unicode MS"/>
      <w:color w:val="000000"/>
      <w:sz w:val="28"/>
      <w:szCs w:val="28"/>
      <w:u w:color="000000"/>
      <w:bdr w:val="nil"/>
      <w:lang w:val="de-DE"/>
    </w:rPr>
  </w:style>
  <w:style w:type="paragraph" w:styleId="FootnoteText">
    <w:name w:val="footnote text"/>
    <w:link w:val="FootnoteTextChar"/>
    <w:uiPriority w:val="99"/>
    <w:rsid w:val="00AC6026"/>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de-DE"/>
    </w:rPr>
  </w:style>
  <w:style w:type="character" w:customStyle="1" w:styleId="FootnoteTextChar">
    <w:name w:val="Footnote Text Char"/>
    <w:basedOn w:val="DefaultParagraphFont"/>
    <w:link w:val="FootnoteText"/>
    <w:uiPriority w:val="99"/>
    <w:rsid w:val="00AC6026"/>
    <w:rPr>
      <w:rFonts w:ascii="Arial" w:eastAsia="Arial" w:hAnsi="Arial" w:cs="Arial"/>
      <w:color w:val="000000"/>
      <w:sz w:val="20"/>
      <w:szCs w:val="20"/>
      <w:u w:color="000000"/>
      <w:bdr w:val="nil"/>
      <w:lang w:val="de-DE"/>
    </w:rPr>
  </w:style>
  <w:style w:type="paragraph" w:customStyle="1" w:styleId="TextPM">
    <w:name w:val="Text PM"/>
    <w:rsid w:val="00AC6026"/>
    <w:pPr>
      <w:pBdr>
        <w:top w:val="nil"/>
        <w:left w:val="nil"/>
        <w:bottom w:val="nil"/>
        <w:right w:val="nil"/>
        <w:between w:val="nil"/>
        <w:bar w:val="nil"/>
      </w:pBdr>
      <w:spacing w:after="150" w:line="240" w:lineRule="auto"/>
    </w:pPr>
    <w:rPr>
      <w:rFonts w:ascii="Arial" w:eastAsia="Arial Unicode MS" w:hAnsi="Arial" w:cs="Arial Unicode MS"/>
      <w:color w:val="000000"/>
      <w:u w:color="000000"/>
      <w:bdr w:val="nil"/>
      <w:lang w:val="de-DE"/>
    </w:rPr>
  </w:style>
  <w:style w:type="table" w:customStyle="1" w:styleId="TableNormal2">
    <w:name w:val="Table Normal2"/>
    <w:rsid w:val="00AC602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56097F"/>
    <w:rPr>
      <w:color w:val="954F72" w:themeColor="followedHyperlink"/>
      <w:u w:val="single"/>
    </w:rPr>
  </w:style>
  <w:style w:type="character" w:customStyle="1" w:styleId="UnresolvedMention1">
    <w:name w:val="Unresolved Mention1"/>
    <w:basedOn w:val="DefaultParagraphFont"/>
    <w:uiPriority w:val="99"/>
    <w:semiHidden/>
    <w:unhideWhenUsed/>
    <w:rsid w:val="0056097F"/>
    <w:rPr>
      <w:color w:val="605E5C"/>
      <w:shd w:val="clear" w:color="auto" w:fill="E1DFDD"/>
    </w:rPr>
  </w:style>
  <w:style w:type="character" w:styleId="CommentReference">
    <w:name w:val="annotation reference"/>
    <w:basedOn w:val="DefaultParagraphFont"/>
    <w:uiPriority w:val="99"/>
    <w:semiHidden/>
    <w:unhideWhenUsed/>
    <w:rsid w:val="00014E5D"/>
    <w:rPr>
      <w:sz w:val="16"/>
      <w:szCs w:val="16"/>
    </w:rPr>
  </w:style>
  <w:style w:type="paragraph" w:styleId="CommentText">
    <w:name w:val="annotation text"/>
    <w:basedOn w:val="Normal"/>
    <w:link w:val="CommentTextChar"/>
    <w:uiPriority w:val="99"/>
    <w:unhideWhenUsed/>
    <w:rsid w:val="00014E5D"/>
    <w:rPr>
      <w:sz w:val="20"/>
      <w:szCs w:val="20"/>
    </w:rPr>
  </w:style>
  <w:style w:type="character" w:customStyle="1" w:styleId="CommentTextChar">
    <w:name w:val="Comment Text Char"/>
    <w:basedOn w:val="DefaultParagraphFont"/>
    <w:link w:val="CommentText"/>
    <w:uiPriority w:val="99"/>
    <w:rsid w:val="00014E5D"/>
    <w:rPr>
      <w:rFonts w:ascii="Arial" w:eastAsia="Arial Unicode MS" w:hAnsi="Arial" w:cs="Arial Unicode MS"/>
      <w:color w:val="000000"/>
      <w:sz w:val="20"/>
      <w:szCs w:val="20"/>
      <w:u w:color="000000"/>
      <w:bdr w:val="nil"/>
      <w:lang w:val="de-DE"/>
    </w:rPr>
  </w:style>
  <w:style w:type="paragraph" w:styleId="CommentSubject">
    <w:name w:val="annotation subject"/>
    <w:basedOn w:val="CommentText"/>
    <w:next w:val="CommentText"/>
    <w:link w:val="CommentSubjectChar"/>
    <w:uiPriority w:val="99"/>
    <w:semiHidden/>
    <w:unhideWhenUsed/>
    <w:rsid w:val="00014E5D"/>
    <w:rPr>
      <w:b/>
      <w:bCs/>
    </w:rPr>
  </w:style>
  <w:style w:type="character" w:customStyle="1" w:styleId="CommentSubjectChar">
    <w:name w:val="Comment Subject Char"/>
    <w:basedOn w:val="CommentTextChar"/>
    <w:link w:val="CommentSubject"/>
    <w:uiPriority w:val="99"/>
    <w:semiHidden/>
    <w:rsid w:val="00014E5D"/>
    <w:rPr>
      <w:rFonts w:ascii="Arial" w:eastAsia="Arial Unicode MS" w:hAnsi="Arial" w:cs="Arial Unicode MS"/>
      <w:b/>
      <w:bCs/>
      <w:color w:val="000000"/>
      <w:sz w:val="20"/>
      <w:szCs w:val="20"/>
      <w:u w:color="000000"/>
      <w:bdr w:val="nil"/>
      <w:lang w:val="de-DE"/>
    </w:rPr>
  </w:style>
  <w:style w:type="paragraph" w:styleId="BalloonText">
    <w:name w:val="Balloon Text"/>
    <w:basedOn w:val="Normal"/>
    <w:link w:val="BalloonTextChar"/>
    <w:uiPriority w:val="99"/>
    <w:semiHidden/>
    <w:unhideWhenUsed/>
    <w:rsid w:val="00014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E5D"/>
    <w:rPr>
      <w:rFonts w:ascii="Segoe UI" w:eastAsia="Arial Unicode MS" w:hAnsi="Segoe UI" w:cs="Segoe UI"/>
      <w:color w:val="000000"/>
      <w:sz w:val="18"/>
      <w:szCs w:val="18"/>
      <w:u w:color="000000"/>
      <w:bdr w:val="nil"/>
      <w:lang w:val="de-DE"/>
    </w:rPr>
  </w:style>
  <w:style w:type="character" w:styleId="FootnoteReference">
    <w:name w:val="footnote reference"/>
    <w:basedOn w:val="DefaultParagraphFont"/>
    <w:uiPriority w:val="99"/>
    <w:semiHidden/>
    <w:unhideWhenUsed/>
    <w:rsid w:val="00BD694C"/>
    <w:rPr>
      <w:vertAlign w:val="superscript"/>
    </w:rPr>
  </w:style>
  <w:style w:type="paragraph" w:styleId="BlockText">
    <w:name w:val="Block Text"/>
    <w:basedOn w:val="Normal"/>
    <w:semiHidden/>
    <w:rsid w:val="00BD694C"/>
    <w:pPr>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389" w:right="1191"/>
    </w:pPr>
    <w:rPr>
      <w:rFonts w:eastAsia="Times New Roman" w:cs="Arial"/>
      <w:color w:val="auto"/>
      <w:sz w:val="20"/>
      <w:szCs w:val="24"/>
      <w:bdr w:val="none" w:sz="0" w:space="0" w:color="auto"/>
      <w:lang w:val="el-GR"/>
    </w:rPr>
  </w:style>
  <w:style w:type="paragraph" w:customStyle="1" w:styleId="BlockText1">
    <w:name w:val="Block Text1"/>
    <w:rsid w:val="00BD694C"/>
    <w:pPr>
      <w:keepNext/>
      <w:spacing w:after="0" w:line="360" w:lineRule="auto"/>
      <w:ind w:left="1389" w:right="1191"/>
    </w:pPr>
    <w:rPr>
      <w:rFonts w:ascii="Arial" w:eastAsia="ヒラギノ角ゴ Pro W3" w:hAnsi="Arial" w:cs="Times New Roman"/>
      <w:color w:val="000000"/>
      <w:sz w:val="20"/>
      <w:szCs w:val="20"/>
      <w:lang w:val="en-US" w:eastAsia="el-GR"/>
    </w:rPr>
  </w:style>
  <w:style w:type="character" w:customStyle="1" w:styleId="Hyperlink1">
    <w:name w:val="Hyperlink1"/>
    <w:rsid w:val="00BD694C"/>
    <w:rPr>
      <w:color w:val="002FF6"/>
      <w:sz w:val="20"/>
      <w:u w:val="single"/>
    </w:rPr>
  </w:style>
  <w:style w:type="paragraph" w:styleId="ListParagraph">
    <w:name w:val="List Paragraph"/>
    <w:basedOn w:val="Normal"/>
    <w:uiPriority w:val="34"/>
    <w:qFormat/>
    <w:rsid w:val="00C67872"/>
    <w:pPr>
      <w:ind w:left="720"/>
      <w:contextualSpacing/>
    </w:pPr>
  </w:style>
  <w:style w:type="paragraph" w:customStyle="1" w:styleId="Default">
    <w:name w:val="Default"/>
    <w:rsid w:val="00C6787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3318B"/>
    <w:pPr>
      <w:spacing w:after="0" w:line="240" w:lineRule="auto"/>
    </w:pPr>
    <w:rPr>
      <w:rFonts w:ascii="Arial" w:eastAsia="Arial Unicode MS" w:hAnsi="Arial" w:cs="Arial Unicode MS"/>
      <w:color w:val="000000"/>
      <w:u w:color="000000"/>
      <w:bdr w:val="nil"/>
      <w:lang w:val="de-DE"/>
    </w:rPr>
  </w:style>
  <w:style w:type="paragraph" w:styleId="NormalWeb">
    <w:name w:val="Normal (Web)"/>
    <w:basedOn w:val="Normal"/>
    <w:uiPriority w:val="99"/>
    <w:unhideWhenUsed/>
    <w:rsid w:val="002E5D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en-US"/>
    </w:rPr>
  </w:style>
  <w:style w:type="character" w:customStyle="1" w:styleId="1">
    <w:name w:val="Ανεπίλυτη αναφορά1"/>
    <w:basedOn w:val="DefaultParagraphFont"/>
    <w:uiPriority w:val="99"/>
    <w:semiHidden/>
    <w:unhideWhenUsed/>
    <w:rsid w:val="008B2FA4"/>
    <w:rPr>
      <w:color w:val="605E5C"/>
      <w:shd w:val="clear" w:color="auto" w:fill="E1DFDD"/>
    </w:rPr>
  </w:style>
  <w:style w:type="paragraph" w:customStyle="1" w:styleId="pf0">
    <w:name w:val="pf0"/>
    <w:basedOn w:val="Normal"/>
    <w:rsid w:val="008802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color w:val="auto"/>
      <w:bdr w:val="none" w:sz="0" w:space="0" w:color="auto"/>
      <w:lang w:val="el-GR" w:eastAsia="el-GR"/>
    </w:rPr>
  </w:style>
  <w:style w:type="character" w:customStyle="1" w:styleId="cf01">
    <w:name w:val="cf01"/>
    <w:basedOn w:val="DefaultParagraphFont"/>
    <w:rsid w:val="0088024E"/>
    <w:rPr>
      <w:rFonts w:ascii="Segoe UI" w:hAnsi="Segoe UI" w:cs="Segoe UI" w:hint="default"/>
    </w:rPr>
  </w:style>
  <w:style w:type="character" w:customStyle="1" w:styleId="cf11">
    <w:name w:val="cf11"/>
    <w:basedOn w:val="DefaultParagraphFont"/>
    <w:rsid w:val="0088024E"/>
    <w:rPr>
      <w:rFonts w:ascii="Segoe UI" w:hAnsi="Segoe UI" w:cs="Segoe UI" w:hint="default"/>
    </w:rPr>
  </w:style>
  <w:style w:type="character" w:customStyle="1" w:styleId="2">
    <w:name w:val="Ανεπίλυτη αναφορά2"/>
    <w:basedOn w:val="DefaultParagraphFont"/>
    <w:uiPriority w:val="99"/>
    <w:semiHidden/>
    <w:unhideWhenUsed/>
    <w:rsid w:val="00FA3A2A"/>
    <w:rPr>
      <w:color w:val="605E5C"/>
      <w:shd w:val="clear" w:color="auto" w:fill="E1DFDD"/>
    </w:rPr>
  </w:style>
  <w:style w:type="paragraph" w:customStyle="1" w:styleId="null">
    <w:name w:val="null"/>
    <w:basedOn w:val="Normal"/>
    <w:rsid w:val="003965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color w:val="auto"/>
      <w:bdr w:val="none" w:sz="0" w:space="0" w:color="auto"/>
      <w:lang w:val="el-GR" w:eastAsia="el-GR"/>
    </w:rPr>
  </w:style>
  <w:style w:type="character" w:styleId="UnresolvedMention">
    <w:name w:val="Unresolved Mention"/>
    <w:basedOn w:val="DefaultParagraphFont"/>
    <w:uiPriority w:val="99"/>
    <w:semiHidden/>
    <w:unhideWhenUsed/>
    <w:rsid w:val="00EE32EE"/>
    <w:rPr>
      <w:color w:val="605E5C"/>
      <w:shd w:val="clear" w:color="auto" w:fill="E1DFDD"/>
    </w:rPr>
  </w:style>
  <w:style w:type="character" w:customStyle="1" w:styleId="copyonepagerZchn">
    <w:name w:val="copy_onepager Zchn"/>
    <w:link w:val="copyonepager"/>
    <w:locked/>
    <w:rsid w:val="002553E0"/>
    <w:rPr>
      <w:rFonts w:ascii="Allianz Serif Light" w:eastAsia="Calibri" w:hAnsi="Allianz Serif Light" w:cs="Allianz Serif F Light"/>
      <w:color w:val="000000"/>
      <w:lang w:val="en-US"/>
    </w:rPr>
  </w:style>
  <w:style w:type="paragraph" w:customStyle="1" w:styleId="copyonepager">
    <w:name w:val="copy_onepager"/>
    <w:basedOn w:val="NoSpacing"/>
    <w:link w:val="copyonepagerZchn"/>
    <w:qFormat/>
    <w:rsid w:val="002553E0"/>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pPr>
    <w:rPr>
      <w:rFonts w:ascii="Allianz Serif Light" w:eastAsia="Calibri" w:hAnsi="Allianz Serif Light" w:cs="Allianz Serif F Light"/>
      <w:bdr w:val="none" w:sz="0" w:space="0" w:color="auto"/>
      <w:lang w:val="en-US"/>
    </w:rPr>
  </w:style>
  <w:style w:type="paragraph" w:styleId="NoSpacing">
    <w:name w:val="No Spacing"/>
    <w:uiPriority w:val="1"/>
    <w:qFormat/>
    <w:rsid w:val="002553E0"/>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de-DE"/>
    </w:rPr>
  </w:style>
  <w:style w:type="paragraph" w:customStyle="1" w:styleId="pfs">
    <w:name w:val="__pfs"/>
    <w:basedOn w:val="Normal"/>
    <w:rsid w:val="00D4680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el-GR" w:eastAsia="el-GR"/>
    </w:rPr>
  </w:style>
  <w:style w:type="table" w:styleId="TableGrid">
    <w:name w:val="Table Grid"/>
    <w:basedOn w:val="TableNormal"/>
    <w:uiPriority w:val="59"/>
    <w:rsid w:val="0088016F"/>
    <w:pPr>
      <w:spacing w:after="0" w:line="240" w:lineRule="auto"/>
    </w:pPr>
    <w:rPr>
      <w:sz w:val="18"/>
      <w:szCs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MeetingAgenda">
    <w:name w:val="AZ Meeting Agenda"/>
    <w:basedOn w:val="TableNormal"/>
    <w:uiPriority w:val="99"/>
    <w:rsid w:val="0088016F"/>
    <w:pPr>
      <w:spacing w:after="0" w:line="260" w:lineRule="exact"/>
    </w:pPr>
    <w:rPr>
      <w:sz w:val="20"/>
      <w:szCs w:val="18"/>
      <w:lang w:val="de-DE"/>
    </w:rPr>
    <w:tblPr>
      <w:tblBorders>
        <w:bottom w:val="single" w:sz="2" w:space="0" w:color="auto"/>
        <w:insideH w:val="single" w:sz="2" w:space="0" w:color="auto"/>
      </w:tblBorders>
      <w:tblCellMar>
        <w:top w:w="57" w:type="dxa"/>
        <w:bottom w:w="85" w:type="dxa"/>
      </w:tblCellMar>
    </w:tblPr>
    <w:tblStylePr w:type="firstRow">
      <w:rPr>
        <w:b/>
        <w:color w:val="003781"/>
      </w:rPr>
      <w:tblPr>
        <w:tblCellMar>
          <w:top w:w="57" w:type="dxa"/>
          <w:left w:w="113" w:type="dxa"/>
          <w:bottom w:w="85" w:type="dxa"/>
          <w:right w:w="113" w:type="dxa"/>
        </w:tblCellMar>
      </w:tbl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374">
      <w:bodyDiv w:val="1"/>
      <w:marLeft w:val="0"/>
      <w:marRight w:val="0"/>
      <w:marTop w:val="0"/>
      <w:marBottom w:val="0"/>
      <w:divBdr>
        <w:top w:val="none" w:sz="0" w:space="0" w:color="auto"/>
        <w:left w:val="none" w:sz="0" w:space="0" w:color="auto"/>
        <w:bottom w:val="none" w:sz="0" w:space="0" w:color="auto"/>
        <w:right w:val="none" w:sz="0" w:space="0" w:color="auto"/>
      </w:divBdr>
    </w:div>
    <w:div w:id="267741868">
      <w:bodyDiv w:val="1"/>
      <w:marLeft w:val="0"/>
      <w:marRight w:val="0"/>
      <w:marTop w:val="0"/>
      <w:marBottom w:val="0"/>
      <w:divBdr>
        <w:top w:val="none" w:sz="0" w:space="0" w:color="auto"/>
        <w:left w:val="none" w:sz="0" w:space="0" w:color="auto"/>
        <w:bottom w:val="none" w:sz="0" w:space="0" w:color="auto"/>
        <w:right w:val="none" w:sz="0" w:space="0" w:color="auto"/>
      </w:divBdr>
    </w:div>
    <w:div w:id="285085204">
      <w:bodyDiv w:val="1"/>
      <w:marLeft w:val="0"/>
      <w:marRight w:val="0"/>
      <w:marTop w:val="0"/>
      <w:marBottom w:val="0"/>
      <w:divBdr>
        <w:top w:val="none" w:sz="0" w:space="0" w:color="auto"/>
        <w:left w:val="none" w:sz="0" w:space="0" w:color="auto"/>
        <w:bottom w:val="none" w:sz="0" w:space="0" w:color="auto"/>
        <w:right w:val="none" w:sz="0" w:space="0" w:color="auto"/>
      </w:divBdr>
    </w:div>
    <w:div w:id="314651694">
      <w:bodyDiv w:val="1"/>
      <w:marLeft w:val="0"/>
      <w:marRight w:val="0"/>
      <w:marTop w:val="0"/>
      <w:marBottom w:val="0"/>
      <w:divBdr>
        <w:top w:val="none" w:sz="0" w:space="0" w:color="auto"/>
        <w:left w:val="none" w:sz="0" w:space="0" w:color="auto"/>
        <w:bottom w:val="none" w:sz="0" w:space="0" w:color="auto"/>
        <w:right w:val="none" w:sz="0" w:space="0" w:color="auto"/>
      </w:divBdr>
    </w:div>
    <w:div w:id="469324105">
      <w:bodyDiv w:val="1"/>
      <w:marLeft w:val="0"/>
      <w:marRight w:val="0"/>
      <w:marTop w:val="0"/>
      <w:marBottom w:val="0"/>
      <w:divBdr>
        <w:top w:val="none" w:sz="0" w:space="0" w:color="auto"/>
        <w:left w:val="none" w:sz="0" w:space="0" w:color="auto"/>
        <w:bottom w:val="none" w:sz="0" w:space="0" w:color="auto"/>
        <w:right w:val="none" w:sz="0" w:space="0" w:color="auto"/>
      </w:divBdr>
    </w:div>
    <w:div w:id="516580626">
      <w:bodyDiv w:val="1"/>
      <w:marLeft w:val="0"/>
      <w:marRight w:val="0"/>
      <w:marTop w:val="0"/>
      <w:marBottom w:val="0"/>
      <w:divBdr>
        <w:top w:val="none" w:sz="0" w:space="0" w:color="auto"/>
        <w:left w:val="none" w:sz="0" w:space="0" w:color="auto"/>
        <w:bottom w:val="none" w:sz="0" w:space="0" w:color="auto"/>
        <w:right w:val="none" w:sz="0" w:space="0" w:color="auto"/>
      </w:divBdr>
    </w:div>
    <w:div w:id="560333149">
      <w:bodyDiv w:val="1"/>
      <w:marLeft w:val="0"/>
      <w:marRight w:val="0"/>
      <w:marTop w:val="0"/>
      <w:marBottom w:val="0"/>
      <w:divBdr>
        <w:top w:val="none" w:sz="0" w:space="0" w:color="auto"/>
        <w:left w:val="none" w:sz="0" w:space="0" w:color="auto"/>
        <w:bottom w:val="none" w:sz="0" w:space="0" w:color="auto"/>
        <w:right w:val="none" w:sz="0" w:space="0" w:color="auto"/>
      </w:divBdr>
    </w:div>
    <w:div w:id="683048419">
      <w:bodyDiv w:val="1"/>
      <w:marLeft w:val="0"/>
      <w:marRight w:val="0"/>
      <w:marTop w:val="0"/>
      <w:marBottom w:val="0"/>
      <w:divBdr>
        <w:top w:val="none" w:sz="0" w:space="0" w:color="auto"/>
        <w:left w:val="none" w:sz="0" w:space="0" w:color="auto"/>
        <w:bottom w:val="none" w:sz="0" w:space="0" w:color="auto"/>
        <w:right w:val="none" w:sz="0" w:space="0" w:color="auto"/>
      </w:divBdr>
    </w:div>
    <w:div w:id="792407438">
      <w:bodyDiv w:val="1"/>
      <w:marLeft w:val="0"/>
      <w:marRight w:val="0"/>
      <w:marTop w:val="0"/>
      <w:marBottom w:val="0"/>
      <w:divBdr>
        <w:top w:val="none" w:sz="0" w:space="0" w:color="auto"/>
        <w:left w:val="none" w:sz="0" w:space="0" w:color="auto"/>
        <w:bottom w:val="none" w:sz="0" w:space="0" w:color="auto"/>
        <w:right w:val="none" w:sz="0" w:space="0" w:color="auto"/>
      </w:divBdr>
    </w:div>
    <w:div w:id="812136836">
      <w:bodyDiv w:val="1"/>
      <w:marLeft w:val="0"/>
      <w:marRight w:val="0"/>
      <w:marTop w:val="0"/>
      <w:marBottom w:val="0"/>
      <w:divBdr>
        <w:top w:val="none" w:sz="0" w:space="0" w:color="auto"/>
        <w:left w:val="none" w:sz="0" w:space="0" w:color="auto"/>
        <w:bottom w:val="none" w:sz="0" w:space="0" w:color="auto"/>
        <w:right w:val="none" w:sz="0" w:space="0" w:color="auto"/>
      </w:divBdr>
    </w:div>
    <w:div w:id="889415142">
      <w:bodyDiv w:val="1"/>
      <w:marLeft w:val="0"/>
      <w:marRight w:val="0"/>
      <w:marTop w:val="0"/>
      <w:marBottom w:val="0"/>
      <w:divBdr>
        <w:top w:val="none" w:sz="0" w:space="0" w:color="auto"/>
        <w:left w:val="none" w:sz="0" w:space="0" w:color="auto"/>
        <w:bottom w:val="none" w:sz="0" w:space="0" w:color="auto"/>
        <w:right w:val="none" w:sz="0" w:space="0" w:color="auto"/>
      </w:divBdr>
    </w:div>
    <w:div w:id="894586463">
      <w:bodyDiv w:val="1"/>
      <w:marLeft w:val="0"/>
      <w:marRight w:val="0"/>
      <w:marTop w:val="0"/>
      <w:marBottom w:val="0"/>
      <w:divBdr>
        <w:top w:val="none" w:sz="0" w:space="0" w:color="auto"/>
        <w:left w:val="none" w:sz="0" w:space="0" w:color="auto"/>
        <w:bottom w:val="none" w:sz="0" w:space="0" w:color="auto"/>
        <w:right w:val="none" w:sz="0" w:space="0" w:color="auto"/>
      </w:divBdr>
    </w:div>
    <w:div w:id="973634781">
      <w:bodyDiv w:val="1"/>
      <w:marLeft w:val="0"/>
      <w:marRight w:val="0"/>
      <w:marTop w:val="0"/>
      <w:marBottom w:val="0"/>
      <w:divBdr>
        <w:top w:val="none" w:sz="0" w:space="0" w:color="auto"/>
        <w:left w:val="none" w:sz="0" w:space="0" w:color="auto"/>
        <w:bottom w:val="none" w:sz="0" w:space="0" w:color="auto"/>
        <w:right w:val="none" w:sz="0" w:space="0" w:color="auto"/>
      </w:divBdr>
    </w:div>
    <w:div w:id="995838494">
      <w:bodyDiv w:val="1"/>
      <w:marLeft w:val="0"/>
      <w:marRight w:val="0"/>
      <w:marTop w:val="0"/>
      <w:marBottom w:val="0"/>
      <w:divBdr>
        <w:top w:val="none" w:sz="0" w:space="0" w:color="auto"/>
        <w:left w:val="none" w:sz="0" w:space="0" w:color="auto"/>
        <w:bottom w:val="none" w:sz="0" w:space="0" w:color="auto"/>
        <w:right w:val="none" w:sz="0" w:space="0" w:color="auto"/>
      </w:divBdr>
    </w:div>
    <w:div w:id="1061751279">
      <w:bodyDiv w:val="1"/>
      <w:marLeft w:val="0"/>
      <w:marRight w:val="0"/>
      <w:marTop w:val="0"/>
      <w:marBottom w:val="0"/>
      <w:divBdr>
        <w:top w:val="none" w:sz="0" w:space="0" w:color="auto"/>
        <w:left w:val="none" w:sz="0" w:space="0" w:color="auto"/>
        <w:bottom w:val="none" w:sz="0" w:space="0" w:color="auto"/>
        <w:right w:val="none" w:sz="0" w:space="0" w:color="auto"/>
      </w:divBdr>
    </w:div>
    <w:div w:id="1137071704">
      <w:bodyDiv w:val="1"/>
      <w:marLeft w:val="0"/>
      <w:marRight w:val="0"/>
      <w:marTop w:val="0"/>
      <w:marBottom w:val="0"/>
      <w:divBdr>
        <w:top w:val="none" w:sz="0" w:space="0" w:color="auto"/>
        <w:left w:val="none" w:sz="0" w:space="0" w:color="auto"/>
        <w:bottom w:val="none" w:sz="0" w:space="0" w:color="auto"/>
        <w:right w:val="none" w:sz="0" w:space="0" w:color="auto"/>
      </w:divBdr>
    </w:div>
    <w:div w:id="1164202608">
      <w:bodyDiv w:val="1"/>
      <w:marLeft w:val="0"/>
      <w:marRight w:val="0"/>
      <w:marTop w:val="0"/>
      <w:marBottom w:val="0"/>
      <w:divBdr>
        <w:top w:val="none" w:sz="0" w:space="0" w:color="auto"/>
        <w:left w:val="none" w:sz="0" w:space="0" w:color="auto"/>
        <w:bottom w:val="none" w:sz="0" w:space="0" w:color="auto"/>
        <w:right w:val="none" w:sz="0" w:space="0" w:color="auto"/>
      </w:divBdr>
    </w:div>
    <w:div w:id="1216357472">
      <w:bodyDiv w:val="1"/>
      <w:marLeft w:val="0"/>
      <w:marRight w:val="0"/>
      <w:marTop w:val="0"/>
      <w:marBottom w:val="0"/>
      <w:divBdr>
        <w:top w:val="none" w:sz="0" w:space="0" w:color="auto"/>
        <w:left w:val="none" w:sz="0" w:space="0" w:color="auto"/>
        <w:bottom w:val="none" w:sz="0" w:space="0" w:color="auto"/>
        <w:right w:val="none" w:sz="0" w:space="0" w:color="auto"/>
      </w:divBdr>
    </w:div>
    <w:div w:id="1280140393">
      <w:bodyDiv w:val="1"/>
      <w:marLeft w:val="0"/>
      <w:marRight w:val="0"/>
      <w:marTop w:val="0"/>
      <w:marBottom w:val="0"/>
      <w:divBdr>
        <w:top w:val="none" w:sz="0" w:space="0" w:color="auto"/>
        <w:left w:val="none" w:sz="0" w:space="0" w:color="auto"/>
        <w:bottom w:val="none" w:sz="0" w:space="0" w:color="auto"/>
        <w:right w:val="none" w:sz="0" w:space="0" w:color="auto"/>
      </w:divBdr>
    </w:div>
    <w:div w:id="1293167824">
      <w:bodyDiv w:val="1"/>
      <w:marLeft w:val="0"/>
      <w:marRight w:val="0"/>
      <w:marTop w:val="0"/>
      <w:marBottom w:val="0"/>
      <w:divBdr>
        <w:top w:val="none" w:sz="0" w:space="0" w:color="auto"/>
        <w:left w:val="none" w:sz="0" w:space="0" w:color="auto"/>
        <w:bottom w:val="none" w:sz="0" w:space="0" w:color="auto"/>
        <w:right w:val="none" w:sz="0" w:space="0" w:color="auto"/>
      </w:divBdr>
    </w:div>
    <w:div w:id="1300264769">
      <w:bodyDiv w:val="1"/>
      <w:marLeft w:val="0"/>
      <w:marRight w:val="0"/>
      <w:marTop w:val="0"/>
      <w:marBottom w:val="0"/>
      <w:divBdr>
        <w:top w:val="none" w:sz="0" w:space="0" w:color="auto"/>
        <w:left w:val="none" w:sz="0" w:space="0" w:color="auto"/>
        <w:bottom w:val="none" w:sz="0" w:space="0" w:color="auto"/>
        <w:right w:val="none" w:sz="0" w:space="0" w:color="auto"/>
      </w:divBdr>
    </w:div>
    <w:div w:id="1323119640">
      <w:bodyDiv w:val="1"/>
      <w:marLeft w:val="0"/>
      <w:marRight w:val="0"/>
      <w:marTop w:val="0"/>
      <w:marBottom w:val="0"/>
      <w:divBdr>
        <w:top w:val="none" w:sz="0" w:space="0" w:color="auto"/>
        <w:left w:val="none" w:sz="0" w:space="0" w:color="auto"/>
        <w:bottom w:val="none" w:sz="0" w:space="0" w:color="auto"/>
        <w:right w:val="none" w:sz="0" w:space="0" w:color="auto"/>
      </w:divBdr>
    </w:div>
    <w:div w:id="1376925784">
      <w:bodyDiv w:val="1"/>
      <w:marLeft w:val="0"/>
      <w:marRight w:val="0"/>
      <w:marTop w:val="0"/>
      <w:marBottom w:val="0"/>
      <w:divBdr>
        <w:top w:val="none" w:sz="0" w:space="0" w:color="auto"/>
        <w:left w:val="none" w:sz="0" w:space="0" w:color="auto"/>
        <w:bottom w:val="none" w:sz="0" w:space="0" w:color="auto"/>
        <w:right w:val="none" w:sz="0" w:space="0" w:color="auto"/>
      </w:divBdr>
    </w:div>
    <w:div w:id="1421098311">
      <w:bodyDiv w:val="1"/>
      <w:marLeft w:val="0"/>
      <w:marRight w:val="0"/>
      <w:marTop w:val="0"/>
      <w:marBottom w:val="0"/>
      <w:divBdr>
        <w:top w:val="none" w:sz="0" w:space="0" w:color="auto"/>
        <w:left w:val="none" w:sz="0" w:space="0" w:color="auto"/>
        <w:bottom w:val="none" w:sz="0" w:space="0" w:color="auto"/>
        <w:right w:val="none" w:sz="0" w:space="0" w:color="auto"/>
      </w:divBdr>
    </w:div>
    <w:div w:id="1609119476">
      <w:bodyDiv w:val="1"/>
      <w:marLeft w:val="0"/>
      <w:marRight w:val="0"/>
      <w:marTop w:val="0"/>
      <w:marBottom w:val="0"/>
      <w:divBdr>
        <w:top w:val="none" w:sz="0" w:space="0" w:color="auto"/>
        <w:left w:val="none" w:sz="0" w:space="0" w:color="auto"/>
        <w:bottom w:val="none" w:sz="0" w:space="0" w:color="auto"/>
        <w:right w:val="none" w:sz="0" w:space="0" w:color="auto"/>
      </w:divBdr>
    </w:div>
    <w:div w:id="1696809360">
      <w:bodyDiv w:val="1"/>
      <w:marLeft w:val="0"/>
      <w:marRight w:val="0"/>
      <w:marTop w:val="0"/>
      <w:marBottom w:val="0"/>
      <w:divBdr>
        <w:top w:val="none" w:sz="0" w:space="0" w:color="auto"/>
        <w:left w:val="none" w:sz="0" w:space="0" w:color="auto"/>
        <w:bottom w:val="none" w:sz="0" w:space="0" w:color="auto"/>
        <w:right w:val="none" w:sz="0" w:space="0" w:color="auto"/>
      </w:divBdr>
    </w:div>
    <w:div w:id="1702240849">
      <w:bodyDiv w:val="1"/>
      <w:marLeft w:val="0"/>
      <w:marRight w:val="0"/>
      <w:marTop w:val="0"/>
      <w:marBottom w:val="0"/>
      <w:divBdr>
        <w:top w:val="none" w:sz="0" w:space="0" w:color="auto"/>
        <w:left w:val="none" w:sz="0" w:space="0" w:color="auto"/>
        <w:bottom w:val="none" w:sz="0" w:space="0" w:color="auto"/>
        <w:right w:val="none" w:sz="0" w:space="0" w:color="auto"/>
      </w:divBdr>
    </w:div>
    <w:div w:id="1775858100">
      <w:bodyDiv w:val="1"/>
      <w:marLeft w:val="0"/>
      <w:marRight w:val="0"/>
      <w:marTop w:val="0"/>
      <w:marBottom w:val="0"/>
      <w:divBdr>
        <w:top w:val="none" w:sz="0" w:space="0" w:color="auto"/>
        <w:left w:val="none" w:sz="0" w:space="0" w:color="auto"/>
        <w:bottom w:val="none" w:sz="0" w:space="0" w:color="auto"/>
        <w:right w:val="none" w:sz="0" w:space="0" w:color="auto"/>
      </w:divBdr>
    </w:div>
    <w:div w:id="1854417283">
      <w:bodyDiv w:val="1"/>
      <w:marLeft w:val="0"/>
      <w:marRight w:val="0"/>
      <w:marTop w:val="0"/>
      <w:marBottom w:val="0"/>
      <w:divBdr>
        <w:top w:val="none" w:sz="0" w:space="0" w:color="auto"/>
        <w:left w:val="none" w:sz="0" w:space="0" w:color="auto"/>
        <w:bottom w:val="none" w:sz="0" w:space="0" w:color="auto"/>
        <w:right w:val="none" w:sz="0" w:space="0" w:color="auto"/>
      </w:divBdr>
    </w:div>
    <w:div w:id="1957520511">
      <w:bodyDiv w:val="1"/>
      <w:marLeft w:val="0"/>
      <w:marRight w:val="0"/>
      <w:marTop w:val="0"/>
      <w:marBottom w:val="0"/>
      <w:divBdr>
        <w:top w:val="none" w:sz="0" w:space="0" w:color="auto"/>
        <w:left w:val="none" w:sz="0" w:space="0" w:color="auto"/>
        <w:bottom w:val="none" w:sz="0" w:space="0" w:color="auto"/>
        <w:right w:val="none" w:sz="0" w:space="0" w:color="auto"/>
      </w:divBdr>
    </w:div>
    <w:div w:id="2015496295">
      <w:bodyDiv w:val="1"/>
      <w:marLeft w:val="0"/>
      <w:marRight w:val="0"/>
      <w:marTop w:val="0"/>
      <w:marBottom w:val="0"/>
      <w:divBdr>
        <w:top w:val="none" w:sz="0" w:space="0" w:color="auto"/>
        <w:left w:val="none" w:sz="0" w:space="0" w:color="auto"/>
        <w:bottom w:val="none" w:sz="0" w:space="0" w:color="auto"/>
        <w:right w:val="none" w:sz="0" w:space="0" w:color="auto"/>
      </w:divBdr>
    </w:div>
    <w:div w:id="2024819708">
      <w:bodyDiv w:val="1"/>
      <w:marLeft w:val="0"/>
      <w:marRight w:val="0"/>
      <w:marTop w:val="0"/>
      <w:marBottom w:val="0"/>
      <w:divBdr>
        <w:top w:val="none" w:sz="0" w:space="0" w:color="auto"/>
        <w:left w:val="none" w:sz="0" w:space="0" w:color="auto"/>
        <w:bottom w:val="none" w:sz="0" w:space="0" w:color="auto"/>
        <w:right w:val="none" w:sz="0" w:space="0" w:color="auto"/>
      </w:divBdr>
    </w:div>
    <w:div w:id="2052143483">
      <w:bodyDiv w:val="1"/>
      <w:marLeft w:val="0"/>
      <w:marRight w:val="0"/>
      <w:marTop w:val="0"/>
      <w:marBottom w:val="0"/>
      <w:divBdr>
        <w:top w:val="none" w:sz="0" w:space="0" w:color="auto"/>
        <w:left w:val="none" w:sz="0" w:space="0" w:color="auto"/>
        <w:bottom w:val="none" w:sz="0" w:space="0" w:color="auto"/>
        <w:right w:val="none" w:sz="0" w:space="0" w:color="auto"/>
      </w:divBdr>
    </w:div>
    <w:div w:id="2074960137">
      <w:bodyDiv w:val="1"/>
      <w:marLeft w:val="0"/>
      <w:marRight w:val="0"/>
      <w:marTop w:val="0"/>
      <w:marBottom w:val="0"/>
      <w:divBdr>
        <w:top w:val="none" w:sz="0" w:space="0" w:color="auto"/>
        <w:left w:val="none" w:sz="0" w:space="0" w:color="auto"/>
        <w:bottom w:val="none" w:sz="0" w:space="0" w:color="auto"/>
        <w:right w:val="none" w:sz="0" w:space="0" w:color="auto"/>
      </w:divBdr>
    </w:div>
    <w:div w:id="2086608289">
      <w:bodyDiv w:val="1"/>
      <w:marLeft w:val="0"/>
      <w:marRight w:val="0"/>
      <w:marTop w:val="0"/>
      <w:marBottom w:val="0"/>
      <w:divBdr>
        <w:top w:val="none" w:sz="0" w:space="0" w:color="auto"/>
        <w:left w:val="none" w:sz="0" w:space="0" w:color="auto"/>
        <w:bottom w:val="none" w:sz="0" w:space="0" w:color="auto"/>
        <w:right w:val="none" w:sz="0" w:space="0" w:color="auto"/>
      </w:divBdr>
    </w:div>
    <w:div w:id="2089420273">
      <w:bodyDiv w:val="1"/>
      <w:marLeft w:val="0"/>
      <w:marRight w:val="0"/>
      <w:marTop w:val="0"/>
      <w:marBottom w:val="0"/>
      <w:divBdr>
        <w:top w:val="none" w:sz="0" w:space="0" w:color="auto"/>
        <w:left w:val="none" w:sz="0" w:space="0" w:color="auto"/>
        <w:bottom w:val="none" w:sz="0" w:space="0" w:color="auto"/>
        <w:right w:val="none" w:sz="0" w:space="0" w:color="auto"/>
      </w:divBdr>
    </w:div>
    <w:div w:id="211559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llianz.com/en/economic_research.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llianz.com/en/economic_research/research_data/global-insurance-ma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5BA9562DFD6F974BAAAAF4546AD7FD6C" ma:contentTypeVersion="17" ma:contentTypeDescription="Δημιουργία νέου εγγράφου" ma:contentTypeScope="" ma:versionID="b4b1b594a17d52a2521cd217f75001dc">
  <xsd:schema xmlns:xsd="http://www.w3.org/2001/XMLSchema" xmlns:xs="http://www.w3.org/2001/XMLSchema" xmlns:p="http://schemas.microsoft.com/office/2006/metadata/properties" xmlns:ns3="61a95500-6b16-49e1-b923-f775c3464c6c" xmlns:ns4="601f62a8-d555-49a9-8605-a876cbcbd923" targetNamespace="http://schemas.microsoft.com/office/2006/metadata/properties" ma:root="true" ma:fieldsID="9ce65c9e65019a3c202dbfed274f7a70" ns3:_="" ns4:_="">
    <xsd:import namespace="61a95500-6b16-49e1-b923-f775c3464c6c"/>
    <xsd:import namespace="601f62a8-d555-49a9-8605-a876cbcbd9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5500-6b16-49e1-b923-f775c3464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1f62a8-d555-49a9-8605-a876cbcbd923" elementFormDefault="qualified">
    <xsd:import namespace="http://schemas.microsoft.com/office/2006/documentManagement/types"/>
    <xsd:import namespace="http://schemas.microsoft.com/office/infopath/2007/PartnerControls"/>
    <xsd:element name="SharedWithUsers" ma:index="15"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Κοινή χρήση με λεπτομέρειες" ma:internalName="SharedWithDetails" ma:readOnly="true">
      <xsd:simpleType>
        <xsd:restriction base="dms:Note">
          <xsd:maxLength value="255"/>
        </xsd:restriction>
      </xsd:simpleType>
    </xsd:element>
    <xsd:element name="SharingHintHash" ma:index="17"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b200a027-0ec1-4c1d-9981-8cd06e400824" origin="userSelected">
  <element uid="96addfde-c9a4-481f-bfa9-e8e834fb4937" value=""/>
  <element uid="4daf5cfc-0951-49e8-a6e4-06abbd98f20f" value=""/>
</sis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61a95500-6b16-49e1-b923-f775c3464c6c" xsi:nil="true"/>
  </documentManagement>
</p:properties>
</file>

<file path=customXml/itemProps1.xml><?xml version="1.0" encoding="utf-8"?>
<ds:datastoreItem xmlns:ds="http://schemas.openxmlformats.org/officeDocument/2006/customXml" ds:itemID="{B98374F3-FA04-4158-80CB-94685519DCA5}">
  <ds:schemaRefs>
    <ds:schemaRef ds:uri="http://schemas.microsoft.com/sharepoint/v3/contenttype/forms"/>
  </ds:schemaRefs>
</ds:datastoreItem>
</file>

<file path=customXml/itemProps2.xml><?xml version="1.0" encoding="utf-8"?>
<ds:datastoreItem xmlns:ds="http://schemas.openxmlformats.org/officeDocument/2006/customXml" ds:itemID="{D36A6638-DE85-4CB4-B1CF-05D601078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95500-6b16-49e1-b923-f775c3464c6c"/>
    <ds:schemaRef ds:uri="601f62a8-d555-49a9-8605-a876cbcb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415B7-E40F-4C3F-9C8A-69E1C69F314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5AE0BDB9-7939-4430-BE86-CC09225B2937}">
  <ds:schemaRefs>
    <ds:schemaRef ds:uri="http://schemas.openxmlformats.org/officeDocument/2006/bibliography"/>
  </ds:schemaRefs>
</ds:datastoreItem>
</file>

<file path=customXml/itemProps5.xml><?xml version="1.0" encoding="utf-8"?>
<ds:datastoreItem xmlns:ds="http://schemas.openxmlformats.org/officeDocument/2006/customXml" ds:itemID="{A367544F-F7A1-4E89-AA57-112029C3D677}">
  <ds:schemaRefs>
    <ds:schemaRef ds:uri="http://schemas.microsoft.com/office/2006/metadata/properties"/>
    <ds:schemaRef ds:uri="http://schemas.microsoft.com/office/infopath/2007/PartnerControls"/>
    <ds:schemaRef ds:uri="61a95500-6b16-49e1-b923-f775c3464c6c"/>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1414</Words>
  <Characters>7636</Characters>
  <Application>Microsoft Office Word</Application>
  <DocSecurity>0</DocSecurity>
  <Lines>63</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kostas chalkiotis</dc:creator>
  <cp:keywords>Public</cp:keywords>
  <cp:lastModifiedBy>TITOPOULOS, EVANGELOS (Allianz Greece)</cp:lastModifiedBy>
  <cp:revision>12</cp:revision>
  <cp:lastPrinted>2020-10-20T14:51:00Z</cp:lastPrinted>
  <dcterms:created xsi:type="dcterms:W3CDTF">2025-05-26T09:16:00Z</dcterms:created>
  <dcterms:modified xsi:type="dcterms:W3CDTF">2025-05-27T11:49:00Z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801e216a-cb2b-4ae1-a77d-fffde9c497ed</vt:lpwstr>
  </property>
  <property fmtid="{D5CDD505-2E9C-101B-9397-08002B2CF9AE}" pid="3" name="bjSaver">
    <vt:lpwstr>ZjTMWJiwYbfU3RCUnzBZl+1YOxHYL8XK</vt:lpwstr>
  </property>
  <property fmtid="{D5CDD505-2E9C-101B-9397-08002B2CF9AE}" pid="4" name="bjDocumentSecurityLabel">
    <vt:lpwstr>Public / Δημόσιο</vt:lpwstr>
  </property>
  <property fmtid="{D5CDD505-2E9C-101B-9397-08002B2CF9AE}" pid="5" name="bjDocumentLabelXML">
    <vt:lpwstr>&lt;?xml version="1.0" encoding="us-ascii"?&gt;&lt;sisl xmlns:xsi="http://www.w3.org/2001/XMLSchema-instance" xmlns:xsd="http://www.w3.org/2001/XMLSchema" sislVersion="0" policy="b200a027-0ec1-4c1d-9981-8cd06e400824" origin="userSelected" xmlns="http://www.boldonj</vt:lpwstr>
  </property>
  <property fmtid="{D5CDD505-2E9C-101B-9397-08002B2CF9AE}" pid="6" name="bjDocumentLabelXML-0">
    <vt:lpwstr>ames.com/2008/01/sie/internal/label"&gt;&lt;element uid="96addfde-c9a4-481f-bfa9-e8e834fb4937" value="" /&gt;&lt;element uid="4daf5cfc-0951-49e8-a6e4-06abbd98f20f" value="" /&gt;&lt;/sisl&gt;</vt:lpwstr>
  </property>
  <property fmtid="{D5CDD505-2E9C-101B-9397-08002B2CF9AE}" pid="7" name="bjFooterBothDocProperty">
    <vt:lpwstr>Δημόσιας Χρήσης | Allianz</vt:lpwstr>
  </property>
  <property fmtid="{D5CDD505-2E9C-101B-9397-08002B2CF9AE}" pid="8" name="bjFooterFirstPageDocProperty">
    <vt:lpwstr>Δημόσιας Χρήσης | Allianz</vt:lpwstr>
  </property>
  <property fmtid="{D5CDD505-2E9C-101B-9397-08002B2CF9AE}" pid="9" name="bjFooterEvenPageDocProperty">
    <vt:lpwstr>Δημόσιας Χρήσης | Allianz</vt:lpwstr>
  </property>
  <property fmtid="{D5CDD505-2E9C-101B-9397-08002B2CF9AE}" pid="10" name="wsKG">
    <vt:lpwstr>KG Law Firm ref. num.: 4.905.149</vt:lpwstr>
  </property>
  <property fmtid="{D5CDD505-2E9C-101B-9397-08002B2CF9AE}" pid="11" name="ClassificationContentMarkingHeaderShapeIds">
    <vt:lpwstr>1,5,6</vt:lpwstr>
  </property>
  <property fmtid="{D5CDD505-2E9C-101B-9397-08002B2CF9AE}" pid="12" name="ClassificationContentMarkingHeaderFontProps">
    <vt:lpwstr>#000000,10,Calibri</vt:lpwstr>
  </property>
  <property fmtid="{D5CDD505-2E9C-101B-9397-08002B2CF9AE}" pid="13" name="ClassificationContentMarkingHeaderText">
    <vt:lpwstr>Internal</vt:lpwstr>
  </property>
  <property fmtid="{D5CDD505-2E9C-101B-9397-08002B2CF9AE}" pid="14" name="MSIP_Label_863bc15e-e7bf-41c1-bdb3-03882d8a2e2c_Enabled">
    <vt:lpwstr>true</vt:lpwstr>
  </property>
  <property fmtid="{D5CDD505-2E9C-101B-9397-08002B2CF9AE}" pid="15" name="MSIP_Label_863bc15e-e7bf-41c1-bdb3-03882d8a2e2c_SetDate">
    <vt:lpwstr>2023-09-06T08:42:15Z</vt:lpwstr>
  </property>
  <property fmtid="{D5CDD505-2E9C-101B-9397-08002B2CF9AE}" pid="16" name="MSIP_Label_863bc15e-e7bf-41c1-bdb3-03882d8a2e2c_Method">
    <vt:lpwstr>Privileged</vt:lpwstr>
  </property>
  <property fmtid="{D5CDD505-2E9C-101B-9397-08002B2CF9AE}" pid="17" name="MSIP_Label_863bc15e-e7bf-41c1-bdb3-03882d8a2e2c_Name">
    <vt:lpwstr>863bc15e-e7bf-41c1-bdb3-03882d8a2e2c</vt:lpwstr>
  </property>
  <property fmtid="{D5CDD505-2E9C-101B-9397-08002B2CF9AE}" pid="18" name="MSIP_Label_863bc15e-e7bf-41c1-bdb3-03882d8a2e2c_SiteId">
    <vt:lpwstr>6e06e42d-6925-47c6-b9e7-9581c7ca302a</vt:lpwstr>
  </property>
  <property fmtid="{D5CDD505-2E9C-101B-9397-08002B2CF9AE}" pid="19" name="MSIP_Label_863bc15e-e7bf-41c1-bdb3-03882d8a2e2c_ActionId">
    <vt:lpwstr>98bd466a-c293-440b-be26-b69014f9013e</vt:lpwstr>
  </property>
  <property fmtid="{D5CDD505-2E9C-101B-9397-08002B2CF9AE}" pid="20" name="MSIP_Label_863bc15e-e7bf-41c1-bdb3-03882d8a2e2c_ContentBits">
    <vt:lpwstr>1</vt:lpwstr>
  </property>
  <property fmtid="{D5CDD505-2E9C-101B-9397-08002B2CF9AE}" pid="21" name="ContentTypeId">
    <vt:lpwstr>0x0101005BA9562DFD6F974BAAAAF4546AD7FD6C</vt:lpwstr>
  </property>
  <property fmtid="{D5CDD505-2E9C-101B-9397-08002B2CF9AE}" pid="22" name="_NewReviewCycle">
    <vt:lpwstr/>
  </property>
</Properties>
</file>